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1" w:rsidRPr="000B0D17" w:rsidRDefault="00291D05">
      <w:pPr>
        <w:pStyle w:val="Autor"/>
        <w:spacing w:after="120"/>
        <w:jc w:val="center"/>
      </w:pPr>
      <w:r w:rsidRPr="000B0D17">
        <w:rPr>
          <w:b/>
          <w:sz w:val="28"/>
        </w:rPr>
        <w:t>Comunicação no ensino introdutório da álgebra escolar:</w:t>
      </w:r>
    </w:p>
    <w:p w:rsidR="00582121" w:rsidRPr="000B0D17" w:rsidRDefault="00291D05">
      <w:pPr>
        <w:pStyle w:val="Autor"/>
        <w:spacing w:after="0"/>
        <w:jc w:val="center"/>
      </w:pPr>
      <w:r w:rsidRPr="000B0D17">
        <w:rPr>
          <w:b/>
          <w:sz w:val="28"/>
        </w:rPr>
        <w:t>Pistas para outras formas de comunicação.</w:t>
      </w:r>
    </w:p>
    <w:p w:rsidR="00582121" w:rsidRPr="000B0D17" w:rsidRDefault="00291D05">
      <w:pPr>
        <w:pStyle w:val="Autor"/>
        <w:spacing w:after="0"/>
        <w:jc w:val="both"/>
      </w:pPr>
      <w:r w:rsidRPr="000B0D17">
        <w:rPr>
          <w:b/>
          <w:sz w:val="28"/>
        </w:rPr>
        <w:tab/>
      </w:r>
    </w:p>
    <w:p w:rsidR="00582121" w:rsidRPr="000B0D17" w:rsidRDefault="00291D05">
      <w:pPr>
        <w:pStyle w:val="Autor"/>
      </w:pPr>
      <w:r w:rsidRPr="000B0D17">
        <w:t>Fernanda de Abreu Lima</w:t>
      </w:r>
      <w:r w:rsidRPr="000B0D17">
        <w:rPr>
          <w:rStyle w:val="Refdenotaderodap"/>
        </w:rPr>
        <w:footnoteReference w:id="1"/>
      </w:r>
    </w:p>
    <w:p w:rsidR="00582121" w:rsidRPr="000B0D17" w:rsidRDefault="00291D05">
      <w:pPr>
        <w:pStyle w:val="GD"/>
      </w:pPr>
      <w:r w:rsidRPr="000B0D17">
        <w:t>GD7 – Formação de Professores que Ensinam Matemática</w:t>
      </w:r>
    </w:p>
    <w:p w:rsidR="00582121" w:rsidRPr="000B0D17" w:rsidRDefault="00291D05">
      <w:pPr>
        <w:pStyle w:val="Resumo"/>
      </w:pPr>
      <w:r w:rsidRPr="000B0D17">
        <w:t>Este trabalho constitui um projeto de pesquisa de mestrado que tem por objetivo (re</w:t>
      </w:r>
      <w:proofErr w:type="gramStart"/>
      <w:r w:rsidRPr="000B0D17">
        <w:t>)pensar</w:t>
      </w:r>
      <w:proofErr w:type="gramEnd"/>
      <w:r w:rsidRPr="000B0D17">
        <w:t xml:space="preserve"> as formas de comunicação que marcam o </w:t>
      </w:r>
      <w:r w:rsidRPr="000B0D17">
        <w:rPr>
          <w:color w:val="00000A"/>
          <w:shd w:val="clear" w:color="auto" w:fill="FFFFFF"/>
        </w:rPr>
        <w:t xml:space="preserve">ensino introdutório da álgebra escolar. Ao longo do </w:t>
      </w:r>
      <w:r w:rsidRPr="000B0D17">
        <w:rPr>
          <w:color w:val="auto"/>
          <w:shd w:val="clear" w:color="auto" w:fill="FFFFFF"/>
        </w:rPr>
        <w:t xml:space="preserve">texto </w:t>
      </w:r>
      <w:r w:rsidR="007F3787" w:rsidRPr="000B0D17">
        <w:rPr>
          <w:color w:val="auto"/>
          <w:shd w:val="clear" w:color="auto" w:fill="FFFFFF"/>
        </w:rPr>
        <w:t>breves</w:t>
      </w:r>
      <w:r w:rsidRPr="000B0D17">
        <w:rPr>
          <w:color w:val="auto"/>
          <w:shd w:val="clear" w:color="auto" w:fill="FFFFFF"/>
        </w:rPr>
        <w:t xml:space="preserve"> considerações</w:t>
      </w:r>
      <w:r w:rsidRPr="000B0D17">
        <w:rPr>
          <w:color w:val="00000A"/>
          <w:shd w:val="clear" w:color="auto" w:fill="FFFFFF"/>
        </w:rPr>
        <w:t xml:space="preserve"> sobre o ensino da álgebra escolar e sobre comunicação em sala de aula </w:t>
      </w:r>
      <w:r w:rsidR="007F3787" w:rsidRPr="000B0D17">
        <w:rPr>
          <w:shd w:val="clear" w:color="auto" w:fill="FFFFFF"/>
        </w:rPr>
        <w:t xml:space="preserve">serão </w:t>
      </w:r>
      <w:r w:rsidRPr="000B0D17">
        <w:rPr>
          <w:color w:val="00000A"/>
          <w:shd w:val="clear" w:color="auto" w:fill="FFFFFF"/>
        </w:rPr>
        <w:t>apresentadas</w:t>
      </w:r>
      <w:r w:rsidRPr="000B0D17">
        <w:rPr>
          <w:shd w:val="clear" w:color="auto" w:fill="FFFFFF"/>
        </w:rPr>
        <w:t xml:space="preserve">, sendo Lins (2005) e </w:t>
      </w:r>
      <w:proofErr w:type="spellStart"/>
      <w:r w:rsidRPr="000B0D17">
        <w:rPr>
          <w:shd w:val="clear" w:color="auto" w:fill="FFFFFF"/>
        </w:rPr>
        <w:t>Rancière</w:t>
      </w:r>
      <w:proofErr w:type="spellEnd"/>
      <w:r w:rsidRPr="000B0D17">
        <w:rPr>
          <w:shd w:val="clear" w:color="auto" w:fill="FFFFFF"/>
        </w:rPr>
        <w:t xml:space="preserve"> (2015) alguns dos referenciais utilizados. Estas</w:t>
      </w:r>
      <w:r w:rsidRPr="000B0D17">
        <w:rPr>
          <w:color w:val="7030A0"/>
          <w:shd w:val="clear" w:color="auto" w:fill="FFFFFF"/>
        </w:rPr>
        <w:t xml:space="preserve"> </w:t>
      </w:r>
      <w:r w:rsidRPr="000B0D17">
        <w:rPr>
          <w:color w:val="00000A"/>
          <w:shd w:val="clear" w:color="auto" w:fill="FFFFFF"/>
        </w:rPr>
        <w:t xml:space="preserve">considerações nos ajudam a delinear pistas e conexões que </w:t>
      </w:r>
      <w:r w:rsidRPr="000B0D17">
        <w:rPr>
          <w:shd w:val="clear" w:color="auto" w:fill="FFFFFF"/>
        </w:rPr>
        <w:t>movimentam</w:t>
      </w:r>
      <w:r w:rsidRPr="000B0D17">
        <w:rPr>
          <w:color w:val="7030A0"/>
          <w:shd w:val="clear" w:color="auto" w:fill="FFFFFF"/>
        </w:rPr>
        <w:t xml:space="preserve"> </w:t>
      </w:r>
      <w:r w:rsidRPr="000B0D17">
        <w:rPr>
          <w:color w:val="00000A"/>
          <w:shd w:val="clear" w:color="auto" w:fill="FFFFFF"/>
        </w:rPr>
        <w:t xml:space="preserve">esta pesquisa. Inspiradas em </w:t>
      </w:r>
      <w:proofErr w:type="spellStart"/>
      <w:r w:rsidRPr="000B0D17">
        <w:rPr>
          <w:color w:val="00000A"/>
          <w:shd w:val="clear" w:color="auto" w:fill="FFFFFF"/>
        </w:rPr>
        <w:t>Rancière</w:t>
      </w:r>
      <w:proofErr w:type="spellEnd"/>
      <w:r w:rsidRPr="000B0D17">
        <w:rPr>
          <w:color w:val="00000A"/>
          <w:shd w:val="clear" w:color="auto" w:fill="FFFFFF"/>
        </w:rPr>
        <w:t xml:space="preserve"> (2015), que nos convida a questionar o “modo e o sentido com que ensinamos” (KOHAN, 2003, p.224), as pistas que constituem esse (re</w:t>
      </w:r>
      <w:proofErr w:type="gramStart"/>
      <w:r w:rsidRPr="000B0D17">
        <w:rPr>
          <w:color w:val="00000A"/>
          <w:shd w:val="clear" w:color="auto" w:fill="FFFFFF"/>
        </w:rPr>
        <w:t>)pensar</w:t>
      </w:r>
      <w:proofErr w:type="gramEnd"/>
      <w:r w:rsidRPr="000B0D17">
        <w:rPr>
          <w:color w:val="00000A"/>
          <w:shd w:val="clear" w:color="auto" w:fill="FFFFFF"/>
        </w:rPr>
        <w:t xml:space="preserve"> são compostas</w:t>
      </w:r>
      <w:r w:rsidRPr="000B0D17">
        <w:rPr>
          <w:color w:val="7030A0"/>
          <w:shd w:val="clear" w:color="auto" w:fill="FFFFFF"/>
        </w:rPr>
        <w:t xml:space="preserve"> </w:t>
      </w:r>
      <w:r w:rsidRPr="000B0D17">
        <w:rPr>
          <w:color w:val="00000A"/>
          <w:shd w:val="clear" w:color="auto" w:fill="FFFFFF"/>
        </w:rPr>
        <w:t>por questionamentos sobre o papel da explicação</w:t>
      </w:r>
      <w:r w:rsidRPr="000B0D17">
        <w:rPr>
          <w:color w:val="7030A0"/>
          <w:shd w:val="clear" w:color="auto" w:fill="FFFFFF"/>
        </w:rPr>
        <w:t>,</w:t>
      </w:r>
      <w:r w:rsidRPr="000B0D17">
        <w:rPr>
          <w:color w:val="00000A"/>
          <w:shd w:val="clear" w:color="auto" w:fill="FFFFFF"/>
        </w:rPr>
        <w:t xml:space="preserve"> </w:t>
      </w:r>
      <w:r w:rsidRPr="000B0D17">
        <w:rPr>
          <w:shd w:val="clear" w:color="auto" w:fill="FFFFFF"/>
        </w:rPr>
        <w:t>sobre a relação entre</w:t>
      </w:r>
      <w:r w:rsidRPr="000B0D17">
        <w:rPr>
          <w:color w:val="7030A0"/>
          <w:shd w:val="clear" w:color="auto" w:fill="FFFFFF"/>
        </w:rPr>
        <w:t xml:space="preserve"> </w:t>
      </w:r>
      <w:r w:rsidRPr="000B0D17">
        <w:rPr>
          <w:color w:val="00000A"/>
          <w:shd w:val="clear" w:color="auto" w:fill="FFFFFF"/>
        </w:rPr>
        <w:t>vontad</w:t>
      </w:r>
      <w:r w:rsidRPr="000B0D17">
        <w:rPr>
          <w:color w:val="auto"/>
          <w:shd w:val="clear" w:color="auto" w:fill="FFFFFF"/>
        </w:rPr>
        <w:t xml:space="preserve">es </w:t>
      </w:r>
      <w:r w:rsidRPr="000B0D17">
        <w:rPr>
          <w:color w:val="00000A"/>
          <w:shd w:val="clear" w:color="auto" w:fill="FFFFFF"/>
        </w:rPr>
        <w:t xml:space="preserve">e sobre a relação </w:t>
      </w:r>
      <w:r w:rsidRPr="000B0D17">
        <w:t>Professor – Livro – Aluno.</w:t>
      </w:r>
      <w:r w:rsidRPr="000B0D17">
        <w:rPr>
          <w:color w:val="00000A"/>
          <w:shd w:val="clear" w:color="auto" w:fill="FFFFFF"/>
        </w:rPr>
        <w:t xml:space="preserve"> </w:t>
      </w:r>
      <w:r w:rsidRPr="000B0D17">
        <w:rPr>
          <w:shd w:val="clear" w:color="auto" w:fill="FFFFFF"/>
        </w:rPr>
        <w:t xml:space="preserve">Estas pistas, juntamente com levantamento bibliográfico e entrevistas, comporão a produção de informações. </w:t>
      </w:r>
      <w:r w:rsidRPr="000B0D17">
        <w:rPr>
          <w:color w:val="00000A"/>
          <w:shd w:val="clear" w:color="auto" w:fill="FFFFFF"/>
        </w:rPr>
        <w:t>Assim, com base nesta produção,</w:t>
      </w:r>
      <w:r w:rsidRPr="000B0D17">
        <w:rPr>
          <w:color w:val="7030A0"/>
          <w:shd w:val="clear" w:color="auto" w:fill="FFFFFF"/>
        </w:rPr>
        <w:t xml:space="preserve"> </w:t>
      </w:r>
      <w:r w:rsidRPr="000B0D17">
        <w:rPr>
          <w:color w:val="7030A0"/>
        </w:rPr>
        <w:t>d</w:t>
      </w:r>
      <w:r w:rsidRPr="000B0D17">
        <w:t>esenvolveremos o estudo com o intuito de apresentar algumas de nossas percepções, porém de modo que essas pistas e percepções possam também movimentar o pensamento do professor/leitor, oportunizando aberturas.</w:t>
      </w:r>
    </w:p>
    <w:p w:rsidR="00582121" w:rsidRPr="000B0D17" w:rsidRDefault="00291D05">
      <w:pPr>
        <w:pStyle w:val="Palavras-chave"/>
        <w:spacing w:before="0" w:after="240" w:line="360" w:lineRule="auto"/>
      </w:pPr>
      <w:r w:rsidRPr="000B0D17">
        <w:rPr>
          <w:b/>
        </w:rPr>
        <w:t>Palavras-chave</w:t>
      </w:r>
      <w:r w:rsidRPr="000B0D17">
        <w:t xml:space="preserve">: Álgebra; Comunicação; Educação; </w:t>
      </w:r>
      <w:proofErr w:type="spellStart"/>
      <w:r w:rsidRPr="000B0D17">
        <w:t>Rancière</w:t>
      </w:r>
      <w:proofErr w:type="spellEnd"/>
      <w:r w:rsidRPr="000B0D17">
        <w:t>.</w:t>
      </w:r>
    </w:p>
    <w:p w:rsidR="00582121" w:rsidRPr="000B0D17" w:rsidRDefault="00582121">
      <w:pPr>
        <w:pStyle w:val="Palavras-chave"/>
        <w:spacing w:before="0" w:after="240" w:line="360" w:lineRule="auto"/>
      </w:pPr>
    </w:p>
    <w:p w:rsidR="00582121" w:rsidRPr="000B0D17" w:rsidRDefault="00291D05" w:rsidP="005804DE">
      <w:pPr>
        <w:pStyle w:val="Seo"/>
        <w:spacing w:before="240" w:after="0"/>
      </w:pPr>
      <w:r w:rsidRPr="000B0D17">
        <w:t>Introdução</w:t>
      </w:r>
    </w:p>
    <w:p w:rsidR="00582121" w:rsidRPr="000B0D17" w:rsidRDefault="00291D05" w:rsidP="00FD1960">
      <w:pPr>
        <w:pStyle w:val="Standard"/>
        <w:spacing w:after="0"/>
      </w:pPr>
      <w:r w:rsidRPr="000B0D17">
        <w:t xml:space="preserve">Em 2015, ao introduzir os tópicos: expressões algébricas e equações de 1º grau, em uma turma de 7º ano, </w:t>
      </w:r>
      <w:proofErr w:type="gramStart"/>
      <w:r w:rsidRPr="000B0D17">
        <w:t>senti</w:t>
      </w:r>
      <w:proofErr w:type="gramEnd"/>
      <w:r w:rsidRPr="000B0D17">
        <w:t xml:space="preserve"> grande dificuldade em </w:t>
      </w:r>
      <w:r w:rsidRPr="000B0D17">
        <w:rPr>
          <w:color w:val="00000A"/>
        </w:rPr>
        <w:t>me comunicar com os alunos sobre o assunto.</w:t>
      </w:r>
      <w:r w:rsidRPr="000B0D17">
        <w:t xml:space="preserve"> Para </w:t>
      </w:r>
      <w:r w:rsidRPr="000B0D17">
        <w:rPr>
          <w:color w:val="00000A"/>
        </w:rPr>
        <w:t>eles</w:t>
      </w:r>
      <w:r w:rsidRPr="000B0D17">
        <w:rPr>
          <w:color w:val="C00000"/>
        </w:rPr>
        <w:t xml:space="preserve"> </w:t>
      </w:r>
      <w:r w:rsidRPr="000B0D17">
        <w:t xml:space="preserve">aquelas expressões geravam um grande estranhamento, no entanto para mim era algo natural e simples de </w:t>
      </w:r>
      <w:r w:rsidRPr="000B0D17">
        <w:rPr>
          <w:color w:val="00000A"/>
        </w:rPr>
        <w:t>entender.</w:t>
      </w:r>
      <w:r w:rsidRPr="000B0D17">
        <w:t xml:space="preserve"> Diante da dificuldade, investia em explicações mais detalhadas e apresentava mais exemplos, </w:t>
      </w:r>
      <w:r w:rsidRPr="000B0D17">
        <w:rPr>
          <w:color w:val="00000A"/>
        </w:rPr>
        <w:t>o que</w:t>
      </w:r>
      <w:r w:rsidRPr="000B0D17">
        <w:rPr>
          <w:color w:val="FF0000"/>
        </w:rPr>
        <w:t xml:space="preserve"> </w:t>
      </w:r>
      <w:r w:rsidRPr="000B0D17">
        <w:t>parecia não adiantar muito</w:t>
      </w:r>
      <w:r w:rsidRPr="000B0D17">
        <w:rPr>
          <w:color w:val="7030A0"/>
        </w:rPr>
        <w:t xml:space="preserve">. </w:t>
      </w:r>
      <w:r w:rsidRPr="000B0D17">
        <w:rPr>
          <w:color w:val="00000A"/>
        </w:rPr>
        <w:t>Talvez as explicações e os exemplos contribuíssem para a resolução de alguns dos exercícios de aplicação, mas apenas isso.</w:t>
      </w:r>
      <w:r w:rsidRPr="000B0D17">
        <w:t xml:space="preserve"> Alguns professores com mais </w:t>
      </w:r>
      <w:r w:rsidRPr="000B0D17">
        <w:rPr>
          <w:color w:val="00000A"/>
        </w:rPr>
        <w:t>tempo em sala de aula me diziam: “é assim mesmo, não te preocupa”, “tem que passar bastante exercício para</w:t>
      </w:r>
      <w:r w:rsidRPr="000B0D17">
        <w:t xml:space="preserve"> eles pegarem o jeito”, entre outros comentários similares. </w:t>
      </w:r>
      <w:r w:rsidRPr="000B0D17">
        <w:rPr>
          <w:color w:val="00000A"/>
        </w:rPr>
        <w:t>Mas aquilo me incomodava e ainda faz com que eu não me sinta bem enquanto professora.</w:t>
      </w:r>
    </w:p>
    <w:p w:rsidR="00582121" w:rsidRPr="000B0D17" w:rsidRDefault="00291D05" w:rsidP="00FD1960">
      <w:pPr>
        <w:pStyle w:val="Standard"/>
        <w:spacing w:after="0"/>
      </w:pPr>
      <w:r w:rsidRPr="000B0D17">
        <w:rPr>
          <w:color w:val="00000A"/>
        </w:rPr>
        <w:lastRenderedPageBreak/>
        <w:t>Essa situação poderia ter simplesmente passado, poderia ter aceitado que é assim mesmo. Poderia ter passado sem que nada acontecesse. Não foi por ter-se repetido diversas vezes, mas por sua afecção que essa situação se constituiu como experiência, no sentido de “o que nos passa, o que nos acontece, o que nos toca. E não o que se passa (...)” (BONDÍA, 2002, p. 21). Foi um momento de parar, pensar, prestar atenção, de abrir mão de certas “verdades” e de questionar diversas vezes o que estava acontecendo. Sem perceber, estava permitindo que uma experiência acontecesse.</w:t>
      </w:r>
      <w:r w:rsidRPr="000B0D17">
        <w:rPr>
          <w:color w:val="C60A87"/>
        </w:rPr>
        <w:t xml:space="preserve"> </w:t>
      </w:r>
      <w:r w:rsidRPr="000B0D17">
        <w:rPr>
          <w:color w:val="00000A"/>
        </w:rPr>
        <w:t xml:space="preserve">Para </w:t>
      </w:r>
      <w:proofErr w:type="spellStart"/>
      <w:r w:rsidRPr="000B0D17">
        <w:rPr>
          <w:color w:val="00000A"/>
        </w:rPr>
        <w:t>Bondía</w:t>
      </w:r>
      <w:proofErr w:type="spellEnd"/>
      <w:r w:rsidRPr="000B0D17">
        <w:rPr>
          <w:color w:val="C00000"/>
        </w:rPr>
        <w:t xml:space="preserve"> </w:t>
      </w:r>
      <w:r w:rsidRPr="000B0D17">
        <w:rPr>
          <w:color w:val="00000A"/>
        </w:rPr>
        <w:t>(2002),</w:t>
      </w:r>
      <w:r w:rsidRPr="000B0D17">
        <w:rPr>
          <w:color w:val="C00000"/>
        </w:rPr>
        <w:t xml:space="preserve"> </w:t>
      </w:r>
      <w:r w:rsidRPr="000B0D17">
        <w:rPr>
          <w:color w:val="00000A"/>
        </w:rPr>
        <w:t>é preciso estar atento, dar-se tempo, suspender automatismos e opiniões para se possibilitar uma experiência. Não basta passar pela situação é preciso se deixar afetar por ela.</w:t>
      </w:r>
    </w:p>
    <w:p w:rsidR="00582121" w:rsidRPr="000B0D17" w:rsidRDefault="00291D05" w:rsidP="00FD1960">
      <w:pPr>
        <w:pStyle w:val="Standard"/>
        <w:spacing w:after="0"/>
      </w:pPr>
      <w:r w:rsidRPr="000B0D17">
        <w:rPr>
          <w:color w:val="00000A"/>
        </w:rPr>
        <w:t>Algum tempo depois</w:t>
      </w:r>
      <w:r w:rsidRPr="000B0D17">
        <w:t xml:space="preserve">, relendo </w:t>
      </w:r>
      <w:r w:rsidRPr="000B0D17">
        <w:rPr>
          <w:i/>
        </w:rPr>
        <w:t>O mestre ignorante</w:t>
      </w:r>
      <w:r w:rsidRPr="000B0D17">
        <w:t xml:space="preserve"> de </w:t>
      </w:r>
      <w:proofErr w:type="spellStart"/>
      <w:r w:rsidRPr="000B0D17">
        <w:t>Ranciére</w:t>
      </w:r>
      <w:proofErr w:type="spellEnd"/>
      <w:r w:rsidRPr="000B0D17">
        <w:t xml:space="preserve"> (2015), algumas passagens me </w:t>
      </w:r>
      <w:r w:rsidRPr="000B0D17">
        <w:rPr>
          <w:color w:val="00000A"/>
        </w:rPr>
        <w:t>fizeram reviver</w:t>
      </w:r>
      <w:r w:rsidRPr="000B0D17">
        <w:t xml:space="preserve"> essa experiência percebendo-a, no entanto, de outra maneira. </w:t>
      </w:r>
      <w:r w:rsidRPr="000B0D17">
        <w:rPr>
          <w:color w:val="00000A"/>
        </w:rPr>
        <w:t xml:space="preserve">Algumas das </w:t>
      </w:r>
      <w:proofErr w:type="spellStart"/>
      <w:r w:rsidRPr="000B0D17">
        <w:rPr>
          <w:color w:val="00000A"/>
        </w:rPr>
        <w:t>problematizações</w:t>
      </w:r>
      <w:proofErr w:type="spellEnd"/>
      <w:r w:rsidRPr="000B0D17">
        <w:rPr>
          <w:color w:val="00000A"/>
        </w:rPr>
        <w:t xml:space="preserve"> apresentadas no livro me fizeram retomar e explorar os “incômodos” daquela situação.</w:t>
      </w:r>
      <w:r w:rsidRPr="000B0D17">
        <w:rPr>
          <w:color w:val="C60A87"/>
        </w:rPr>
        <w:t xml:space="preserve"> </w:t>
      </w:r>
      <w:r w:rsidRPr="000B0D17">
        <w:t>A partir de então começava a surgir o objetivo desta pesquisa. Já no mestrado, outros referenciais, tais como Lins (2005), foram surgindo, complementando e apontando direções mais específicas para este projeto, que se constitui com o objetivo de (re</w:t>
      </w:r>
      <w:proofErr w:type="gramStart"/>
      <w:r w:rsidRPr="000B0D17">
        <w:t>)pensar</w:t>
      </w:r>
      <w:proofErr w:type="gramEnd"/>
      <w:r w:rsidRPr="000B0D17">
        <w:t xml:space="preserve"> formas de comunicação para o ensino introdutório da álgebra escolar, </w:t>
      </w:r>
      <w:r w:rsidRPr="000B0D17">
        <w:rPr>
          <w:color w:val="00000A"/>
        </w:rPr>
        <w:t>através de pistas encontradas</w:t>
      </w:r>
      <w:r w:rsidRPr="000B0D17">
        <w:rPr>
          <w:color w:val="7030A0"/>
        </w:rPr>
        <w:t xml:space="preserve"> </w:t>
      </w:r>
      <w:r w:rsidRPr="000B0D17">
        <w:t xml:space="preserve">em </w:t>
      </w:r>
      <w:proofErr w:type="spellStart"/>
      <w:r w:rsidRPr="000B0D17">
        <w:t>Rancière</w:t>
      </w:r>
      <w:proofErr w:type="spellEnd"/>
      <w:r w:rsidRPr="000B0D17">
        <w:t xml:space="preserve"> (2015).</w:t>
      </w:r>
    </w:p>
    <w:p w:rsidR="00582121" w:rsidRPr="000B0D17" w:rsidRDefault="00582121">
      <w:pPr>
        <w:pStyle w:val="Standard"/>
        <w:rPr>
          <w:b/>
        </w:rPr>
      </w:pPr>
    </w:p>
    <w:p w:rsidR="00582121" w:rsidRPr="000B0D17" w:rsidRDefault="00291D05">
      <w:pPr>
        <w:pStyle w:val="Standard"/>
        <w:spacing w:before="240" w:after="0"/>
      </w:pPr>
      <w:r w:rsidRPr="000B0D17">
        <w:rPr>
          <w:b/>
        </w:rPr>
        <w:t>Algumas considerações sobre a álgebra escolar</w:t>
      </w:r>
    </w:p>
    <w:p w:rsidR="00582121" w:rsidRPr="000B0D17" w:rsidRDefault="00291D05" w:rsidP="00E10647">
      <w:pPr>
        <w:pStyle w:val="Standard"/>
        <w:spacing w:after="0"/>
      </w:pPr>
      <w:r w:rsidRPr="000B0D17">
        <w:t xml:space="preserve">O estudo da álgebra se faz presente em boa parte do currículo da escola básica, iniciando "oficialmente" no 7º ano do ensino fundamental e indo até o fim do ensino médio. Também é possível perceber a presença da álgebra em outras disciplinas escolares, tais como física, biologia e química. A </w:t>
      </w:r>
      <w:r w:rsidRPr="000B0D17">
        <w:rPr>
          <w:color w:val="7030A0"/>
        </w:rPr>
        <w:t>i</w:t>
      </w:r>
      <w:r w:rsidRPr="000B0D17">
        <w:t>ntrodução à álgebra constitui um momento importante no ensino da matemática escolar, afinal</w:t>
      </w:r>
      <w:r w:rsidRPr="000B0D17">
        <w:rPr>
          <w:color w:val="00000A"/>
        </w:rPr>
        <w:t>,</w:t>
      </w:r>
      <w:r w:rsidRPr="000B0D17">
        <w:t xml:space="preserve"> é como se uma nova "matemática" surgisse na vida dos alunos. </w:t>
      </w:r>
      <w:r w:rsidRPr="000B0D17">
        <w:rPr>
          <w:color w:val="00000A"/>
        </w:rPr>
        <w:t>O conceito de generalização e uma</w:t>
      </w:r>
      <w:r w:rsidRPr="000B0D17">
        <w:t xml:space="preserve"> nova linguagem </w:t>
      </w:r>
      <w:r w:rsidRPr="000B0D17">
        <w:rPr>
          <w:color w:val="00000A"/>
        </w:rPr>
        <w:t>começam a fazer parte das aulas</w:t>
      </w:r>
      <w:r w:rsidRPr="000B0D17">
        <w:rPr>
          <w:color w:val="7030A0"/>
        </w:rPr>
        <w:t xml:space="preserve">. </w:t>
      </w:r>
      <w:r w:rsidRPr="000B0D17">
        <w:rPr>
          <w:color w:val="00000A"/>
        </w:rPr>
        <w:t xml:space="preserve">De um lado o professor, familiarizado com a álgebra, do outro o aluno tendo seus primeiros contatos com aquela nova matemática. Para o professor, a álgebra introdutória já se transformou em algo natural. Parafraseando Nobre (1996), podemos dizer que ao longo de </w:t>
      </w:r>
      <w:r w:rsidRPr="000B0D17">
        <w:rPr>
          <w:color w:val="00000A"/>
        </w:rPr>
        <w:lastRenderedPageBreak/>
        <w:t xml:space="preserve">sua formação, o professor teve a oportunidade de passar por todo o processo que tornou o conceito de generalização e a linguagem </w:t>
      </w:r>
      <w:proofErr w:type="gramStart"/>
      <w:r w:rsidRPr="000B0D17">
        <w:rPr>
          <w:color w:val="00000A"/>
        </w:rPr>
        <w:t>algébrica compreensíveis</w:t>
      </w:r>
      <w:proofErr w:type="gramEnd"/>
      <w:r w:rsidRPr="000B0D17">
        <w:rPr>
          <w:color w:val="00000A"/>
        </w:rPr>
        <w:t xml:space="preserve"> e aceitáveis, e agora, em sala de aula, “passa a utilizar somente o resultado final” (p.30). O efeito da naturalização manifesta-se na forma como o professor se comunica com seus alunos. Então, o professor escolhe cuidadosamente expressões e equações “fáceis” para as primeiras aulas deste conteúdo. Tudo é preparado para que o aluno compreenda, a partir da “forma acabada” do conteúdo. No entanto, o aluno não passou por este processo de naturalização, para ele aquele conceito, apresentado já em sua forma “final”, é motivo de</w:t>
      </w:r>
      <w:r w:rsidRPr="000B0D17">
        <w:rPr>
          <w:color w:val="7030A0"/>
        </w:rPr>
        <w:t xml:space="preserve"> </w:t>
      </w:r>
      <w:r w:rsidRPr="000B0D17">
        <w:rPr>
          <w:color w:val="00000A"/>
        </w:rPr>
        <w:t>estranhamento.</w:t>
      </w:r>
    </w:p>
    <w:p w:rsidR="00582121" w:rsidRPr="000B0D17" w:rsidRDefault="00291D05" w:rsidP="00E10647">
      <w:pPr>
        <w:pStyle w:val="Standard"/>
        <w:spacing w:after="0"/>
      </w:pPr>
      <w:r w:rsidRPr="000B0D17">
        <w:rPr>
          <w:color w:val="00000A"/>
        </w:rPr>
        <w:t>Conforme afirma Viola dos Santos (2007, p.31) “Para muitos alunos, a álgebra escolar representa um divisor de águas entre ter ou não sucesso na matemática”. Após sua</w:t>
      </w:r>
      <w:r w:rsidRPr="000B0D17">
        <w:t xml:space="preserve"> introdução, a álgebra se faz presente em grande parte dos conteúdos e se torna mais difícil compreender conteúdos que dependem de manipulações algébricas sem entender o que significa álgebra. Podemos perceber um antes e um depois da álgebra no ensino da matemática escolar. “Antes eu entendia alguma coisa, agora não entendo mais nada”. “Depois das letras não consigo mais entender”. “Antes era mais fácil. Para que letras na matemática?”. Recordo de escutar frases deste tipo em sala de aula, inclusive de alunos de ensino médio. E, embora sejam frases de senso comum, nos remetem a álgebra como um marco na matemática escolar.</w:t>
      </w:r>
    </w:p>
    <w:p w:rsidR="00582121" w:rsidRPr="000B0D17" w:rsidRDefault="00291D05" w:rsidP="00E10647">
      <w:pPr>
        <w:pStyle w:val="Standard"/>
        <w:spacing w:after="0"/>
      </w:pPr>
      <w:r w:rsidRPr="000B0D17">
        <w:t xml:space="preserve">O depois da álgebra parece aumentar a monstruosidade da matemática escolar. Afinal a álgebra parece gerar aproximações entre a matemática escolar e a matemática do matemático, o monstro monstruoso, conforme caracteriza Lins (2005). Consequentemente, parece </w:t>
      </w:r>
      <w:r w:rsidRPr="000B0D17">
        <w:rPr>
          <w:color w:val="00000A"/>
        </w:rPr>
        <w:t>ocorrer</w:t>
      </w:r>
      <w:r w:rsidRPr="000B0D17">
        <w:rPr>
          <w:color w:val="FF0000"/>
        </w:rPr>
        <w:t xml:space="preserve"> </w:t>
      </w:r>
      <w:r w:rsidRPr="000B0D17">
        <w:t xml:space="preserve">um distanciamento maior entre a matemática escolar e </w:t>
      </w:r>
      <w:r w:rsidRPr="000B0D17">
        <w:rPr>
          <w:color w:val="00000A"/>
        </w:rPr>
        <w:t>os alunos</w:t>
      </w:r>
      <w:r w:rsidRPr="000B0D17">
        <w:t xml:space="preserve">, e muitas vezes as saídas encontradas por eles, </w:t>
      </w:r>
      <w:r w:rsidRPr="000B0D17">
        <w:rPr>
          <w:color w:val="00000A"/>
        </w:rPr>
        <w:t>para lidar a contento com a álgebra escolar</w:t>
      </w:r>
      <w:r w:rsidRPr="000B0D17">
        <w:t xml:space="preserve"> e obter aprovação, </w:t>
      </w:r>
      <w:r w:rsidRPr="000B0D17">
        <w:rPr>
          <w:color w:val="00000A"/>
        </w:rPr>
        <w:t>restringem-se</w:t>
      </w:r>
      <w:r w:rsidRPr="000B0D17">
        <w:t xml:space="preserve"> </w:t>
      </w:r>
      <w:r w:rsidRPr="000B0D17">
        <w:rPr>
          <w:color w:val="00000A"/>
        </w:rPr>
        <w:t>à memorização de técnicas e à tentativa de</w:t>
      </w:r>
      <w:r w:rsidRPr="000B0D17">
        <w:rPr>
          <w:color w:val="C00000"/>
        </w:rPr>
        <w:t xml:space="preserve"> </w:t>
      </w:r>
      <w:r w:rsidRPr="000B0D17">
        <w:rPr>
          <w:color w:val="00000A"/>
        </w:rPr>
        <w:t>reproduzi-las quando identificadas certas semelhanças nos exercícios, o</w:t>
      </w:r>
      <w:r w:rsidRPr="000B0D17">
        <w:rPr>
          <w:color w:val="C00000"/>
        </w:rPr>
        <w:t xml:space="preserve"> </w:t>
      </w:r>
      <w:r w:rsidRPr="000B0D17">
        <w:t xml:space="preserve">que </w:t>
      </w:r>
      <w:r w:rsidRPr="000B0D17">
        <w:rPr>
          <w:color w:val="00000A"/>
        </w:rPr>
        <w:t>limita a</w:t>
      </w:r>
      <w:r w:rsidRPr="000B0D17">
        <w:rPr>
          <w:color w:val="FF0000"/>
        </w:rPr>
        <w:t xml:space="preserve"> </w:t>
      </w:r>
      <w:r w:rsidRPr="000B0D17">
        <w:t xml:space="preserve">possibilidade de compreensão da </w:t>
      </w:r>
      <w:r w:rsidRPr="000B0D17">
        <w:rPr>
          <w:color w:val="00000A"/>
        </w:rPr>
        <w:t>álgebra</w:t>
      </w:r>
      <w:r w:rsidRPr="000B0D17">
        <w:t xml:space="preserve"> escolar.</w:t>
      </w:r>
    </w:p>
    <w:p w:rsidR="00582121" w:rsidRPr="000B0D17" w:rsidRDefault="00291D05" w:rsidP="00E10647">
      <w:pPr>
        <w:pStyle w:val="Standard"/>
        <w:spacing w:after="0"/>
      </w:pPr>
      <w:r w:rsidRPr="000B0D17">
        <w:t xml:space="preserve">Uma de nossas intenções </w:t>
      </w:r>
      <w:r w:rsidRPr="000B0D17">
        <w:rPr>
          <w:color w:val="00000A"/>
        </w:rPr>
        <w:t>neste projeto</w:t>
      </w:r>
      <w:r w:rsidRPr="000B0D17">
        <w:rPr>
          <w:color w:val="C00000"/>
        </w:rPr>
        <w:t xml:space="preserve"> </w:t>
      </w:r>
      <w:r w:rsidRPr="000B0D17">
        <w:t xml:space="preserve">é seguir aquilo que Lins (2005) sugere para a matemática escolar de um modo geral: “Que uma Educação Matemática faça o monstro </w:t>
      </w:r>
      <w:r w:rsidRPr="000B0D17">
        <w:lastRenderedPageBreak/>
        <w:t>monstruoso tornar-se um monstro de estimação, este não seria um feito menor, mesmo que fosse para o aluno dizer ‘sei que é isso e não me assusta, mas não quero’.” (p. 118).</w:t>
      </w:r>
    </w:p>
    <w:p w:rsidR="00582121" w:rsidRPr="000B0D17" w:rsidRDefault="00582121">
      <w:pPr>
        <w:pStyle w:val="Standard"/>
      </w:pPr>
    </w:p>
    <w:p w:rsidR="00582121" w:rsidRPr="000B0D17" w:rsidRDefault="00291D05">
      <w:pPr>
        <w:pStyle w:val="Seo"/>
        <w:spacing w:before="240" w:after="0"/>
      </w:pPr>
      <w:r w:rsidRPr="000B0D17">
        <w:t>Algumas considerações sobre comunicação em sala de aula.</w:t>
      </w:r>
    </w:p>
    <w:p w:rsidR="00582121" w:rsidRPr="000B0D17" w:rsidRDefault="00291D05" w:rsidP="00FD1960">
      <w:pPr>
        <w:pStyle w:val="Standard"/>
        <w:spacing w:after="0"/>
      </w:pPr>
      <w:r w:rsidRPr="000B0D17">
        <w:t>Observamos que o contexto escolar é regido por uma lógica explicadora e por uma noção de aprendizagem de causa e efeito, o que</w:t>
      </w:r>
      <w:r w:rsidRPr="000B0D17">
        <w:rPr>
          <w:color w:val="00000A"/>
        </w:rPr>
        <w:t>,</w:t>
      </w:r>
      <w:r w:rsidRPr="000B0D17">
        <w:t xml:space="preserve"> de certo modo, </w:t>
      </w:r>
      <w:r w:rsidRPr="000B0D17">
        <w:rPr>
          <w:color w:val="00000A"/>
        </w:rPr>
        <w:t>induz à ideia</w:t>
      </w:r>
      <w:r w:rsidRPr="000B0D17">
        <w:rPr>
          <w:color w:val="FF0000"/>
        </w:rPr>
        <w:t xml:space="preserve"> </w:t>
      </w:r>
      <w:r w:rsidRPr="000B0D17">
        <w:t>de que uma boa explicação é</w:t>
      </w:r>
      <w:r w:rsidRPr="000B0D17">
        <w:rPr>
          <w:color w:val="7030A0"/>
        </w:rPr>
        <w:t xml:space="preserve"> </w:t>
      </w:r>
      <w:r w:rsidRPr="000B0D17">
        <w:t xml:space="preserve">capaz de gerar um bom efeito de aprendizagem </w:t>
      </w:r>
      <w:r w:rsidRPr="000B0D17">
        <w:rPr>
          <w:color w:val="00000A"/>
        </w:rPr>
        <w:t>ou, ainda, que uma boa explicação é condição necessária para um bom efeito de aprendizagem.</w:t>
      </w:r>
    </w:p>
    <w:p w:rsidR="00582121" w:rsidRPr="000B0D17" w:rsidRDefault="00291D05" w:rsidP="00FD1960">
      <w:pPr>
        <w:pStyle w:val="Standard"/>
        <w:spacing w:after="0"/>
      </w:pPr>
      <w:r w:rsidRPr="000B0D17">
        <w:t xml:space="preserve">De modo geral a explicação </w:t>
      </w:r>
      <w:r w:rsidRPr="000B0D17">
        <w:rPr>
          <w:color w:val="00000A"/>
        </w:rPr>
        <w:t>do professor</w:t>
      </w:r>
      <w:r w:rsidRPr="000B0D17">
        <w:rPr>
          <w:color w:val="7030A0"/>
        </w:rPr>
        <w:t xml:space="preserve"> </w:t>
      </w:r>
      <w:r w:rsidRPr="000B0D17">
        <w:t>e o livro didático marcam a comunicação em sala de aula. Mas qual o papel da explicação? O que há de errado com os livros didáticos?</w:t>
      </w:r>
    </w:p>
    <w:p w:rsidR="00582121" w:rsidRPr="000B0D17" w:rsidRDefault="00291D05" w:rsidP="00FD1960">
      <w:pPr>
        <w:pStyle w:val="Standard"/>
        <w:spacing w:after="0"/>
      </w:pPr>
      <w:r w:rsidRPr="000B0D17">
        <w:t>A explicação, conforme Camargo (2011)</w:t>
      </w:r>
      <w:proofErr w:type="gramStart"/>
      <w:r w:rsidRPr="000B0D17">
        <w:t>, pode</w:t>
      </w:r>
      <w:proofErr w:type="gramEnd"/>
      <w:r w:rsidRPr="000B0D17">
        <w:t xml:space="preserve"> desempenhar os seguintes papéis</w:t>
      </w:r>
      <w:r w:rsidRPr="000B0D17">
        <w:rPr>
          <w:iCs/>
        </w:rPr>
        <w:t xml:space="preserve">: </w:t>
      </w:r>
      <w:r w:rsidRPr="000B0D17">
        <w:rPr>
          <w:i/>
          <w:iCs/>
          <w:color w:val="00000A"/>
        </w:rPr>
        <w:t>informativa</w:t>
      </w:r>
      <w:r w:rsidRPr="000B0D17">
        <w:rPr>
          <w:iCs/>
          <w:color w:val="00000A"/>
        </w:rPr>
        <w:t xml:space="preserve">, por comunicar ao aluno determinado conhecimento; </w:t>
      </w:r>
      <w:r w:rsidRPr="000B0D17">
        <w:rPr>
          <w:i/>
          <w:iCs/>
          <w:color w:val="00000A"/>
        </w:rPr>
        <w:t>necessária</w:t>
      </w:r>
      <w:r w:rsidRPr="000B0D17">
        <w:rPr>
          <w:iCs/>
          <w:color w:val="00000A"/>
        </w:rPr>
        <w:t xml:space="preserve">, por parecer o único modo de se aprender ou ensinar algo, e </w:t>
      </w:r>
      <w:r w:rsidRPr="000B0D17">
        <w:rPr>
          <w:i/>
          <w:iCs/>
          <w:color w:val="00000A"/>
        </w:rPr>
        <w:t>facilitadora</w:t>
      </w:r>
      <w:r w:rsidRPr="000B0D17">
        <w:rPr>
          <w:iCs/>
          <w:color w:val="00000A"/>
        </w:rPr>
        <w:t>, por reduzir o trabalho do aluno</w:t>
      </w:r>
      <w:r w:rsidRPr="000B0D17">
        <w:rPr>
          <w:iCs/>
          <w:color w:val="7030A0"/>
        </w:rPr>
        <w:t xml:space="preserve">. </w:t>
      </w:r>
      <w:r w:rsidRPr="000B0D17">
        <w:rPr>
          <w:color w:val="00000A"/>
        </w:rPr>
        <w:t xml:space="preserve">Não propomos que a explicação seja banida das aulas de álgebra introdutória, no entanto, consideramos importante revê-la quando assume os papéis de </w:t>
      </w:r>
      <w:r w:rsidRPr="000B0D17">
        <w:rPr>
          <w:i/>
          <w:color w:val="00000A"/>
        </w:rPr>
        <w:t xml:space="preserve">necessária </w:t>
      </w:r>
      <w:r w:rsidRPr="000B0D17">
        <w:rPr>
          <w:color w:val="00000A"/>
        </w:rPr>
        <w:t xml:space="preserve">ou de </w:t>
      </w:r>
      <w:r w:rsidRPr="000B0D17">
        <w:rPr>
          <w:i/>
          <w:color w:val="00000A"/>
        </w:rPr>
        <w:t>facilitadora</w:t>
      </w:r>
      <w:r w:rsidRPr="000B0D17">
        <w:rPr>
          <w:color w:val="00000A"/>
        </w:rPr>
        <w:t>.</w:t>
      </w:r>
    </w:p>
    <w:p w:rsidR="00582121" w:rsidRPr="000B0D17" w:rsidRDefault="00291D05" w:rsidP="00FD1960">
      <w:pPr>
        <w:pStyle w:val="Standard"/>
        <w:spacing w:after="0"/>
      </w:pPr>
      <w:r w:rsidRPr="000B0D17">
        <w:rPr>
          <w:color w:val="00000A"/>
        </w:rPr>
        <w:t xml:space="preserve">O livro didático, por vezes, também realiza o papel de </w:t>
      </w:r>
      <w:r w:rsidRPr="000B0D17">
        <w:rPr>
          <w:i/>
          <w:color w:val="00000A"/>
        </w:rPr>
        <w:t>facilitador</w:t>
      </w:r>
      <w:r w:rsidRPr="000B0D17">
        <w:rPr>
          <w:color w:val="00000A"/>
        </w:rPr>
        <w:t xml:space="preserve"> ao comunicar conteúdos aos alunos e ao comunicar modos de abordar conteúdos aos professores. Temos ai uma situação que não apresenta potência para movimentar o pensamento, pois quando a explicação desempenha o papel de </w:t>
      </w:r>
      <w:r w:rsidRPr="000B0D17">
        <w:rPr>
          <w:i/>
          <w:color w:val="00000A"/>
        </w:rPr>
        <w:t>facilitadora</w:t>
      </w:r>
      <w:r w:rsidRPr="000B0D17">
        <w:rPr>
          <w:color w:val="00000A"/>
        </w:rPr>
        <w:t xml:space="preserve"> tende a reduzir o esforço intelectual dos alunos.</w:t>
      </w:r>
    </w:p>
    <w:p w:rsidR="00582121" w:rsidRPr="000B0D17" w:rsidRDefault="00291D05" w:rsidP="00FD1960">
      <w:pPr>
        <w:pStyle w:val="Standard"/>
        <w:spacing w:after="0"/>
      </w:pPr>
      <w:r w:rsidRPr="000B0D17">
        <w:t xml:space="preserve">Outra característica que marca esse tipo de comunicação é a naturalização com que a álgebra introdutória é abordada, seja na </w:t>
      </w:r>
      <w:r w:rsidRPr="000B0D17">
        <w:rPr>
          <w:color w:val="00000A"/>
        </w:rPr>
        <w:t>explicação do professor ou no</w:t>
      </w:r>
      <w:r w:rsidRPr="000B0D17">
        <w:t xml:space="preserve"> livro didático. Vamos pensar em um tipo de exercício frequentemente encontrado em livros didáticos, o cálculo do perímetro de figuras geométricas, nas quais as medidas dos lados são representadas algebricamente. </w:t>
      </w:r>
      <w:r w:rsidRPr="000B0D17">
        <w:rPr>
          <w:color w:val="00000A"/>
        </w:rPr>
        <w:t xml:space="preserve">Tomemos </w:t>
      </w:r>
      <w:r w:rsidRPr="000B0D17">
        <w:t xml:space="preserve">como exemplo o cálculo do </w:t>
      </w:r>
      <w:r w:rsidRPr="000B0D17">
        <w:rPr>
          <w:color w:val="00000A"/>
        </w:rPr>
        <w:t xml:space="preserve">perímetro de um retângulo, cujas medidas dos lados são </w:t>
      </w:r>
      <m:oMath>
        <w:proofErr w:type="gramStart"/>
        <m:r>
          <w:rPr>
            <w:rFonts w:ascii="Cambria Math"/>
          </w:rPr>
          <m:t>3</m:t>
        </m:r>
        <w:proofErr w:type="gramEnd"/>
        <m:r>
          <w:rPr>
            <w:rFonts w:ascii="Cambria Math" w:hAnsi="Cambria Math"/>
          </w:rPr>
          <m:t>x</m:t>
        </m:r>
      </m:oMath>
      <w:r w:rsidR="00000FC8" w:rsidRPr="000B0D17">
        <w:t xml:space="preserve"> </w:t>
      </w:r>
      <w:r w:rsidRPr="000B0D17">
        <w:rPr>
          <w:color w:val="00000A"/>
        </w:rPr>
        <w:t xml:space="preserve">e </w:t>
      </w:r>
      <m:oMath>
        <m:r>
          <w:rPr>
            <w:rFonts w:ascii="Cambria Math"/>
          </w:rPr>
          <m:t>4</m:t>
        </m:r>
        <m:r>
          <w:rPr>
            <w:rFonts w:ascii="Cambria Math" w:hAnsi="Cambria Math"/>
          </w:rPr>
          <m:t>y</m:t>
        </m:r>
        <m:r>
          <m:t>-</m:t>
        </m:r>
        <m:r>
          <w:rPr>
            <w:rFonts w:ascii="Cambria Math"/>
          </w:rPr>
          <m:t>2</m:t>
        </m:r>
      </m:oMath>
      <w:r w:rsidRPr="000B0D17">
        <w:rPr>
          <w:color w:val="00000A"/>
        </w:rPr>
        <w:t xml:space="preserve">. Aqui letras e expressões algébricas surgem representando medidas, algo que por si só já causa espanto e desconforto, e, para </w:t>
      </w:r>
      <w:r w:rsidRPr="000B0D17">
        <w:rPr>
          <w:color w:val="00000A"/>
        </w:rPr>
        <w:lastRenderedPageBreak/>
        <w:t>completar a estranheza deste exercício, o resultado final não é mais um número, como sempre foi, e sim uma expressão:</w:t>
      </w:r>
      <w:r w:rsidRPr="000B0D17">
        <w:rPr>
          <w:color w:val="FF0000"/>
        </w:rPr>
        <w:t xml:space="preserve"> </w:t>
      </w:r>
      <m:oMath>
        <w:proofErr w:type="gramStart"/>
        <m:r>
          <w:rPr>
            <w:rFonts w:ascii="Cambria Math"/>
          </w:rPr>
          <m:t>6</m:t>
        </m:r>
        <w:proofErr w:type="gramEnd"/>
        <m:r>
          <w:rPr>
            <w:rFonts w:ascii="Cambria Math" w:hAnsi="Cambria Math"/>
          </w:rPr>
          <m:t>x</m:t>
        </m:r>
        <m:r>
          <w:rPr>
            <w:rFonts w:ascii="Cambria Math"/>
          </w:rPr>
          <m:t>+8</m:t>
        </m:r>
        <m:r>
          <w:rPr>
            <w:rFonts w:ascii="Cambria Math" w:hAnsi="Cambria Math"/>
          </w:rPr>
          <m:t>y</m:t>
        </m:r>
        <m:r>
          <m:t>-</m:t>
        </m:r>
        <m:r>
          <w:rPr>
            <w:rFonts w:ascii="Cambria Math"/>
          </w:rPr>
          <m:t>4</m:t>
        </m:r>
      </m:oMath>
      <w:r w:rsidRPr="000B0D17">
        <w:t xml:space="preserve">. Para o professor </w:t>
      </w:r>
      <w:r w:rsidRPr="000B0D17">
        <w:rPr>
          <w:color w:val="00000A"/>
        </w:rPr>
        <w:t>não há problema em lidar com situações desse tipo</w:t>
      </w:r>
      <w:r w:rsidRPr="000B0D17">
        <w:t xml:space="preserve">, mas e para o aluno? </w:t>
      </w:r>
      <w:r w:rsidRPr="000B0D17">
        <w:rPr>
          <w:color w:val="00000A"/>
        </w:rPr>
        <w:t xml:space="preserve">A explicação, em qualquer um de seus papéis, bastaria para reduzir a estranheza de tais situações? </w:t>
      </w:r>
    </w:p>
    <w:p w:rsidR="00582121" w:rsidRPr="000B0D17" w:rsidRDefault="00582121">
      <w:pPr>
        <w:pStyle w:val="Seo"/>
        <w:spacing w:before="240" w:after="0"/>
      </w:pPr>
    </w:p>
    <w:p w:rsidR="00582121" w:rsidRPr="000B0D17" w:rsidRDefault="001506E7">
      <w:pPr>
        <w:pStyle w:val="Seo"/>
        <w:spacing w:before="240" w:after="0"/>
      </w:pPr>
      <w:r w:rsidRPr="000B0D17">
        <w:t xml:space="preserve">Justificativa: </w:t>
      </w:r>
      <w:r w:rsidR="00291D05" w:rsidRPr="000B0D17">
        <w:t>Porque</w:t>
      </w:r>
      <w:r w:rsidRPr="000B0D17">
        <w:t xml:space="preserve"> estamos seguindo este caminho?</w:t>
      </w:r>
    </w:p>
    <w:p w:rsidR="00582121" w:rsidRPr="000B0D17" w:rsidRDefault="00291D05" w:rsidP="00FD1960">
      <w:pPr>
        <w:pStyle w:val="Textodecomentrio"/>
        <w:spacing w:after="0" w:line="360" w:lineRule="auto"/>
      </w:pPr>
      <w:r w:rsidRPr="000B0D17">
        <w:rPr>
          <w:color w:val="00000A"/>
          <w:sz w:val="24"/>
          <w:szCs w:val="24"/>
        </w:rPr>
        <w:t>Observamos que a introdução da linguagem algébrica, algo nada natural para os alunos, traz consigo a</w:t>
      </w:r>
      <w:r w:rsidRPr="000B0D17">
        <w:rPr>
          <w:sz w:val="24"/>
          <w:szCs w:val="24"/>
        </w:rPr>
        <w:t xml:space="preserve"> desconstruções de verdades que o aluno vinha construindo desde o início de sua vida escolar.</w:t>
      </w:r>
      <w:r w:rsidRPr="000B0D17">
        <w:rPr>
          <w:color w:val="C00000"/>
          <w:sz w:val="24"/>
          <w:szCs w:val="24"/>
        </w:rPr>
        <w:t xml:space="preserve"> </w:t>
      </w:r>
      <w:r w:rsidRPr="000B0D17">
        <w:rPr>
          <w:sz w:val="24"/>
          <w:szCs w:val="24"/>
        </w:rPr>
        <w:t xml:space="preserve">Com a introdução da álgebra podemos ter um retângulo com medidas não determinadas, uma expressão algébrica como resultado final, </w:t>
      </w:r>
      <w:r w:rsidRPr="000B0D17">
        <w:rPr>
          <w:color w:val="00000A"/>
          <w:sz w:val="24"/>
          <w:szCs w:val="24"/>
        </w:rPr>
        <w:t xml:space="preserve">um </w:t>
      </w:r>
      <m:oMath>
        <m:r>
          <w:rPr>
            <w:rFonts w:ascii="Cambria Math" w:hAnsi="Cambria Math"/>
          </w:rPr>
          <m:t>x</m:t>
        </m:r>
      </m:oMath>
      <w:r w:rsidR="001506E7" w:rsidRPr="000B0D17">
        <w:t xml:space="preserve"> </w:t>
      </w:r>
      <w:r w:rsidRPr="000B0D17">
        <w:rPr>
          <w:color w:val="00000A"/>
          <w:sz w:val="24"/>
          <w:szCs w:val="24"/>
        </w:rPr>
        <w:t>sem valor definido nas expressões algébricas e com valor definido, a ser determinado, nas equações de primeiro grau, etc</w:t>
      </w:r>
      <w:r w:rsidRPr="000B0D17">
        <w:rPr>
          <w:sz w:val="24"/>
          <w:szCs w:val="24"/>
        </w:rPr>
        <w:t>.</w:t>
      </w:r>
    </w:p>
    <w:p w:rsidR="00582121" w:rsidRPr="000B0D17" w:rsidRDefault="00291D05" w:rsidP="00FD1960">
      <w:pPr>
        <w:pStyle w:val="Standard"/>
        <w:spacing w:after="0"/>
      </w:pPr>
      <w:r w:rsidRPr="000B0D17">
        <w:t>Neste sentido, explorar outras formas de comunicação em sala de aula torna-se importante para que alternativas possam ser pensadas. Esta fase, marcada por desconstruções e novidades que causam estranhamento, parece necessitar de um olhar mais atento, de uma comunicação mais aberta e menos impositiva, que trabalhe a favor dessas desconstruções e que “force o aluno a usar sua própria inteligência” (RANCIÈRE, 2015, p.34). Sendo assim, buscamos possibilidades para</w:t>
      </w:r>
      <w:r w:rsidRPr="000B0D17">
        <w:rPr>
          <w:color w:val="7030A0"/>
        </w:rPr>
        <w:t xml:space="preserve">, </w:t>
      </w:r>
      <w:r w:rsidRPr="000B0D17">
        <w:rPr>
          <w:color w:val="00000A"/>
        </w:rPr>
        <w:t>através da comunicação,</w:t>
      </w:r>
      <w:r w:rsidRPr="000B0D17">
        <w:t xml:space="preserve"> </w:t>
      </w:r>
      <w:r w:rsidRPr="000B0D17">
        <w:rPr>
          <w:iCs/>
        </w:rPr>
        <w:t>"forçar uma capacidade que se ignora ou se denega a se reconhecer e a desenvolver todas as consequências desse reconhecimento" (p.</w:t>
      </w:r>
      <w:r w:rsidRPr="000B0D17">
        <w:rPr>
          <w:iCs/>
          <w:color w:val="FF0000"/>
        </w:rPr>
        <w:t xml:space="preserve"> </w:t>
      </w:r>
      <w:r w:rsidRPr="000B0D17">
        <w:rPr>
          <w:iCs/>
          <w:color w:val="00000A"/>
        </w:rPr>
        <w:t>12</w:t>
      </w:r>
      <w:r w:rsidRPr="000B0D17">
        <w:rPr>
          <w:iCs/>
        </w:rPr>
        <w:t>), a capacidade de compreender a linguagem algébrica e o conceito de generalização no contexto escolar.</w:t>
      </w:r>
    </w:p>
    <w:p w:rsidR="00582121" w:rsidRPr="000B0D17" w:rsidRDefault="00582121">
      <w:pPr>
        <w:pStyle w:val="Heading2"/>
        <w:spacing w:line="360" w:lineRule="auto"/>
        <w:jc w:val="both"/>
        <w:rPr>
          <w:rFonts w:ascii="Times New Roman" w:eastAsia="Times New Roman" w:hAnsi="Times New Roman" w:cs="Times New Roman"/>
          <w:color w:val="00000A"/>
          <w:sz w:val="24"/>
          <w:szCs w:val="24"/>
          <w:lang w:eastAsia="pt-BR"/>
        </w:rPr>
      </w:pPr>
      <w:bookmarkStart w:id="0" w:name="_Toc487990613"/>
    </w:p>
    <w:p w:rsidR="00582121" w:rsidRPr="000B0D17" w:rsidRDefault="00291D05" w:rsidP="00FD1960">
      <w:pPr>
        <w:pStyle w:val="Heading2"/>
        <w:spacing w:before="240" w:line="360" w:lineRule="auto"/>
        <w:jc w:val="both"/>
        <w:rPr>
          <w:rFonts w:ascii="Times New Roman" w:hAnsi="Times New Roman" w:cs="Times New Roman"/>
        </w:rPr>
      </w:pPr>
      <w:r w:rsidRPr="000B0D17">
        <w:rPr>
          <w:rFonts w:ascii="Times New Roman" w:eastAsia="Times New Roman" w:hAnsi="Times New Roman" w:cs="Times New Roman"/>
          <w:color w:val="00000A"/>
          <w:sz w:val="24"/>
          <w:szCs w:val="24"/>
          <w:lang w:eastAsia="pt-BR"/>
        </w:rPr>
        <w:t>Objetivos de pesquisa</w:t>
      </w:r>
      <w:bookmarkEnd w:id="0"/>
    </w:p>
    <w:p w:rsidR="00582121" w:rsidRPr="000B0D17" w:rsidRDefault="00291D05" w:rsidP="00FD1960">
      <w:pPr>
        <w:pStyle w:val="Standard"/>
        <w:spacing w:after="0"/>
      </w:pPr>
      <w:r w:rsidRPr="000B0D17">
        <w:rPr>
          <w:color w:val="00000A"/>
          <w:shd w:val="clear" w:color="auto" w:fill="FFFFFF"/>
        </w:rPr>
        <w:t xml:space="preserve">Considerando formas que usualmente marcam a comunicação em sala de aula durante a introdução à álgebra escolar, pretendemos, a partir de pistas encontradas em </w:t>
      </w:r>
      <w:proofErr w:type="spellStart"/>
      <w:r w:rsidRPr="000B0D17">
        <w:rPr>
          <w:color w:val="00000A"/>
          <w:shd w:val="clear" w:color="auto" w:fill="FFFFFF"/>
        </w:rPr>
        <w:t>Rancière</w:t>
      </w:r>
      <w:proofErr w:type="spellEnd"/>
      <w:r w:rsidRPr="000B0D17">
        <w:rPr>
          <w:color w:val="00000A"/>
          <w:shd w:val="clear" w:color="auto" w:fill="FFFFFF"/>
        </w:rPr>
        <w:t xml:space="preserve"> (2015), explorar formas de comunicação alternativas e suas potencialidades.</w:t>
      </w:r>
      <w:r w:rsidRPr="000B0D17">
        <w:rPr>
          <w:color w:val="7030A0"/>
          <w:shd w:val="clear" w:color="auto" w:fill="FFFFFF"/>
        </w:rPr>
        <w:t xml:space="preserve"> </w:t>
      </w:r>
      <w:r w:rsidRPr="000B0D17">
        <w:rPr>
          <w:color w:val="00000A"/>
          <w:shd w:val="clear" w:color="auto" w:fill="FFFFFF"/>
        </w:rPr>
        <w:t xml:space="preserve">A partir desta </w:t>
      </w:r>
      <w:r w:rsidRPr="000B0D17">
        <w:rPr>
          <w:color w:val="00000A"/>
          <w:shd w:val="clear" w:color="auto" w:fill="FFFFFF"/>
        </w:rPr>
        <w:lastRenderedPageBreak/>
        <w:t>pesquisa, pretendemos convidar o docente a</w:t>
      </w:r>
      <w:r w:rsidRPr="000B0D17">
        <w:rPr>
          <w:shd w:val="clear" w:color="auto" w:fill="FFFFFF"/>
        </w:rPr>
        <w:t xml:space="preserve"> (re</w:t>
      </w:r>
      <w:proofErr w:type="gramStart"/>
      <w:r w:rsidRPr="000B0D17">
        <w:rPr>
          <w:shd w:val="clear" w:color="auto" w:fill="FFFFFF"/>
        </w:rPr>
        <w:t>)pensar</w:t>
      </w:r>
      <w:proofErr w:type="gramEnd"/>
      <w:r w:rsidRPr="000B0D17">
        <w:rPr>
          <w:shd w:val="clear" w:color="auto" w:fill="FFFFFF"/>
        </w:rPr>
        <w:t xml:space="preserve"> aspectos destas formas de comunicação e seus possíveis efeitos no ensino da matemática escolar, em especial, no contexto introdutório da álgebra.</w:t>
      </w:r>
    </w:p>
    <w:p w:rsidR="00582121" w:rsidRPr="000B0D17" w:rsidRDefault="00582121">
      <w:pPr>
        <w:pStyle w:val="Heading3"/>
        <w:spacing w:line="360" w:lineRule="auto"/>
        <w:jc w:val="both"/>
        <w:rPr>
          <w:rFonts w:ascii="Times New Roman" w:eastAsia="Times New Roman" w:hAnsi="Times New Roman" w:cs="Times New Roman"/>
          <w:color w:val="00000A"/>
          <w:sz w:val="24"/>
          <w:szCs w:val="24"/>
          <w:lang w:eastAsia="pt-BR"/>
        </w:rPr>
      </w:pPr>
      <w:bookmarkStart w:id="1" w:name="_Toc487990615"/>
    </w:p>
    <w:p w:rsidR="00582121" w:rsidRPr="000B0D17" w:rsidRDefault="00291D05" w:rsidP="00E10647">
      <w:pPr>
        <w:pStyle w:val="Heading3"/>
        <w:spacing w:before="240" w:line="360" w:lineRule="auto"/>
        <w:jc w:val="both"/>
        <w:rPr>
          <w:rFonts w:ascii="Times New Roman" w:hAnsi="Times New Roman" w:cs="Times New Roman"/>
        </w:rPr>
      </w:pPr>
      <w:r w:rsidRPr="000B0D17">
        <w:rPr>
          <w:rFonts w:ascii="Times New Roman" w:eastAsia="Times New Roman" w:hAnsi="Times New Roman" w:cs="Times New Roman"/>
          <w:color w:val="00000A"/>
          <w:sz w:val="24"/>
          <w:szCs w:val="24"/>
          <w:lang w:eastAsia="pt-BR"/>
        </w:rPr>
        <w:t>Objetivos específicos</w:t>
      </w:r>
      <w:bookmarkEnd w:id="1"/>
    </w:p>
    <w:p w:rsidR="00582121" w:rsidRPr="000B0D17" w:rsidRDefault="00291D05" w:rsidP="00FD1960">
      <w:pPr>
        <w:pStyle w:val="Standard"/>
        <w:shd w:val="clear" w:color="auto" w:fill="FFFFFF"/>
        <w:spacing w:after="0"/>
      </w:pPr>
      <w:r w:rsidRPr="000B0D17">
        <w:rPr>
          <w:color w:val="00000A"/>
          <w:shd w:val="clear" w:color="auto" w:fill="FFFFFF"/>
        </w:rPr>
        <w:t xml:space="preserve">a) Investigar aspectos encontrados nas formas de comunicação que marcam o ensino introdutório da álgebra, tendo como fontes livros didáticos, </w:t>
      </w:r>
      <w:proofErr w:type="gramStart"/>
      <w:r w:rsidRPr="000B0D17">
        <w:rPr>
          <w:color w:val="00000A"/>
          <w:shd w:val="clear" w:color="auto" w:fill="FFFFFF"/>
        </w:rPr>
        <w:t>entrevistas</w:t>
      </w:r>
      <w:proofErr w:type="gramEnd"/>
      <w:r w:rsidRPr="000B0D17">
        <w:rPr>
          <w:color w:val="00000A"/>
          <w:shd w:val="clear" w:color="auto" w:fill="FFFFFF"/>
        </w:rPr>
        <w:t xml:space="preserve"> com docentes da área e outras pesquisas que abordem o assunto.</w:t>
      </w:r>
    </w:p>
    <w:p w:rsidR="00582121" w:rsidRPr="000B0D17" w:rsidRDefault="00291D05" w:rsidP="00FD1960">
      <w:pPr>
        <w:pStyle w:val="Standard"/>
        <w:shd w:val="clear" w:color="auto" w:fill="FFFFFF"/>
        <w:spacing w:after="0"/>
      </w:pPr>
      <w:r w:rsidRPr="000B0D17">
        <w:rPr>
          <w:color w:val="00000A"/>
          <w:shd w:val="clear" w:color="auto" w:fill="FFFFFF"/>
        </w:rPr>
        <w:t>b) A partir das pistas encontradas</w:t>
      </w:r>
      <w:r w:rsidRPr="000B0D17">
        <w:rPr>
          <w:color w:val="7030A0"/>
          <w:shd w:val="clear" w:color="auto" w:fill="FFFFFF"/>
        </w:rPr>
        <w:t xml:space="preserve"> </w:t>
      </w:r>
      <w:r w:rsidRPr="000B0D17">
        <w:rPr>
          <w:color w:val="00000A"/>
          <w:shd w:val="clear" w:color="auto" w:fill="FFFFFF"/>
        </w:rPr>
        <w:t xml:space="preserve">em </w:t>
      </w:r>
      <w:proofErr w:type="spellStart"/>
      <w:r w:rsidRPr="000B0D17">
        <w:rPr>
          <w:color w:val="00000A"/>
          <w:shd w:val="clear" w:color="auto" w:fill="FFFFFF"/>
        </w:rPr>
        <w:t>Rancière</w:t>
      </w:r>
      <w:proofErr w:type="spellEnd"/>
      <w:r w:rsidRPr="000B0D17">
        <w:rPr>
          <w:color w:val="00000A"/>
          <w:shd w:val="clear" w:color="auto" w:fill="FFFFFF"/>
        </w:rPr>
        <w:t xml:space="preserve"> (2015) e da produção de informações,</w:t>
      </w:r>
      <w:r w:rsidRPr="000B0D17">
        <w:rPr>
          <w:color w:val="7030A0"/>
          <w:shd w:val="clear" w:color="auto" w:fill="FFFFFF"/>
        </w:rPr>
        <w:t xml:space="preserve"> </w:t>
      </w:r>
      <w:r w:rsidRPr="000B0D17">
        <w:rPr>
          <w:color w:val="00000A"/>
          <w:shd w:val="clear" w:color="auto" w:fill="FFFFFF"/>
        </w:rPr>
        <w:t>explorar formas alternativas</w:t>
      </w:r>
      <w:r w:rsidRPr="000B0D17">
        <w:rPr>
          <w:color w:val="7030A0"/>
          <w:shd w:val="clear" w:color="auto" w:fill="FFFFFF"/>
        </w:rPr>
        <w:t xml:space="preserve"> </w:t>
      </w:r>
      <w:r w:rsidRPr="000B0D17">
        <w:rPr>
          <w:color w:val="00000A"/>
          <w:shd w:val="clear" w:color="auto" w:fill="FFFFFF"/>
        </w:rPr>
        <w:t>de comunicação</w:t>
      </w:r>
      <w:r w:rsidRPr="000B0D17">
        <w:rPr>
          <w:color w:val="00B050"/>
          <w:shd w:val="clear" w:color="auto" w:fill="FFFFFF"/>
        </w:rPr>
        <w:t xml:space="preserve"> </w:t>
      </w:r>
      <w:r w:rsidRPr="000B0D17">
        <w:rPr>
          <w:color w:val="00000A"/>
          <w:shd w:val="clear" w:color="auto" w:fill="FFFFFF"/>
        </w:rPr>
        <w:t>no ensino introdutório de</w:t>
      </w:r>
      <w:r w:rsidRPr="000B0D17">
        <w:rPr>
          <w:color w:val="00B050"/>
          <w:shd w:val="clear" w:color="auto" w:fill="FFFFFF"/>
        </w:rPr>
        <w:t xml:space="preserve"> </w:t>
      </w:r>
      <w:r w:rsidRPr="000B0D17">
        <w:rPr>
          <w:color w:val="00000A"/>
          <w:shd w:val="clear" w:color="auto" w:fill="FFFFFF"/>
        </w:rPr>
        <w:t>álgebra e suas potencialidades para reduzir o “efeito divisor de águas” que esta introdução costuma ocasionar.</w:t>
      </w:r>
    </w:p>
    <w:p w:rsidR="00582121" w:rsidRPr="000B0D17" w:rsidRDefault="00582121" w:rsidP="00FD1960">
      <w:pPr>
        <w:pStyle w:val="Standard"/>
        <w:shd w:val="clear" w:color="auto" w:fill="FFFFFF"/>
        <w:spacing w:after="0"/>
        <w:rPr>
          <w:color w:val="00000A"/>
          <w:shd w:val="clear" w:color="auto" w:fill="FFFFFF"/>
        </w:rPr>
      </w:pPr>
    </w:p>
    <w:p w:rsidR="00582121" w:rsidRPr="000B0D17" w:rsidRDefault="00291D05" w:rsidP="00E10647">
      <w:pPr>
        <w:pStyle w:val="Heading2"/>
        <w:spacing w:before="240" w:line="360" w:lineRule="auto"/>
        <w:jc w:val="both"/>
        <w:rPr>
          <w:rFonts w:ascii="Times New Roman" w:hAnsi="Times New Roman" w:cs="Times New Roman"/>
        </w:rPr>
      </w:pPr>
      <w:bookmarkStart w:id="2" w:name="_Toc487990616"/>
      <w:r w:rsidRPr="000B0D17">
        <w:rPr>
          <w:rFonts w:ascii="Times New Roman" w:eastAsia="Times New Roman" w:hAnsi="Times New Roman" w:cs="Times New Roman"/>
          <w:color w:val="00000A"/>
          <w:sz w:val="24"/>
          <w:szCs w:val="24"/>
          <w:lang w:eastAsia="pt-BR"/>
        </w:rPr>
        <w:t>Metodologia e procedimentos</w:t>
      </w:r>
      <w:bookmarkEnd w:id="2"/>
    </w:p>
    <w:p w:rsidR="00582121" w:rsidRPr="000B0D17" w:rsidRDefault="00291D05" w:rsidP="00FD1960">
      <w:pPr>
        <w:pStyle w:val="Standard"/>
        <w:spacing w:after="0"/>
      </w:pPr>
      <w:r w:rsidRPr="000B0D17">
        <w:t xml:space="preserve">A pesquisa é de abordagem qualitativa e visa o aprofundamento da compreensão do objeto de estudo através de levantamento bibliográfico e de entrevistas com professores da área de conhecimento estudada. Deste modo, com base nos objetivos, a pesquisa </w:t>
      </w:r>
      <w:r w:rsidRPr="000B0D17">
        <w:rPr>
          <w:color w:val="00000A"/>
        </w:rPr>
        <w:t xml:space="preserve">se caracteriza </w:t>
      </w:r>
      <w:r w:rsidRPr="000B0D17">
        <w:t>como exploratória.</w:t>
      </w:r>
    </w:p>
    <w:p w:rsidR="00582121" w:rsidRPr="000B0D17" w:rsidRDefault="00291D05" w:rsidP="00FD1960">
      <w:pPr>
        <w:pStyle w:val="Standard"/>
        <w:spacing w:after="0"/>
      </w:pPr>
      <w:r w:rsidRPr="000B0D17">
        <w:t>Quanto aos procedimentos</w:t>
      </w:r>
      <w:r w:rsidRPr="000B0D17">
        <w:rPr>
          <w:color w:val="00000A"/>
        </w:rPr>
        <w:t>,</w:t>
      </w:r>
      <w:r w:rsidRPr="000B0D17">
        <w:t xml:space="preserve"> segundo </w:t>
      </w:r>
      <w:proofErr w:type="spellStart"/>
      <w:r w:rsidRPr="000B0D17">
        <w:t>Selltiz</w:t>
      </w:r>
      <w:proofErr w:type="spellEnd"/>
      <w:r w:rsidRPr="000B0D17">
        <w:t xml:space="preserve"> </w:t>
      </w:r>
      <w:r w:rsidRPr="000B0D17">
        <w:rPr>
          <w:color w:val="00000A"/>
        </w:rPr>
        <w:t>e colegas</w:t>
      </w:r>
      <w:r w:rsidRPr="000B0D17">
        <w:rPr>
          <w:color w:val="C00000"/>
        </w:rPr>
        <w:t xml:space="preserve"> </w:t>
      </w:r>
      <w:r w:rsidRPr="000B0D17">
        <w:t xml:space="preserve">(1967), a pesquisa exploratória </w:t>
      </w:r>
      <w:r w:rsidRPr="000B0D17">
        <w:rPr>
          <w:color w:val="00000A"/>
        </w:rPr>
        <w:t>inclui o</w:t>
      </w:r>
      <w:r w:rsidRPr="000B0D17">
        <w:rPr>
          <w:color w:val="00B050"/>
        </w:rPr>
        <w:t xml:space="preserve"> </w:t>
      </w:r>
      <w:r w:rsidRPr="000B0D17">
        <w:t xml:space="preserve">levantamento bibliográfico, entrevistas com pessoas que tiveram experiências práticas com o problema pesquisado e </w:t>
      </w:r>
      <w:r w:rsidRPr="000B0D17">
        <w:rPr>
          <w:color w:val="00000A"/>
        </w:rPr>
        <w:t>a</w:t>
      </w:r>
      <w:r w:rsidRPr="000B0D17">
        <w:rPr>
          <w:color w:val="00B050"/>
        </w:rPr>
        <w:t xml:space="preserve"> </w:t>
      </w:r>
      <w:r w:rsidRPr="000B0D17">
        <w:t xml:space="preserve">análise de exemplos que "estimulem a compreensão" </w:t>
      </w:r>
      <w:r w:rsidRPr="000B0D17">
        <w:rPr>
          <w:color w:val="00000A"/>
        </w:rPr>
        <w:t xml:space="preserve">(apud GIL, 2002, p. 41), podendo </w:t>
      </w:r>
      <w:r w:rsidRPr="000B0D17">
        <w:t>constituir-se, na maioria dos casos, na forma de pesquisa bibliográfica ou de um estudo de caso.</w:t>
      </w:r>
    </w:p>
    <w:p w:rsidR="00582121" w:rsidRPr="000B0D17" w:rsidRDefault="00291D05" w:rsidP="00FD1960">
      <w:pPr>
        <w:pStyle w:val="Standard"/>
        <w:spacing w:after="0"/>
      </w:pPr>
      <w:r w:rsidRPr="000B0D17">
        <w:rPr>
          <w:color w:val="00000A"/>
        </w:rPr>
        <w:t>Seguindo os procedimentos que caracterizam este tipo de pesquisa, definimos algumas das etapas para o seu</w:t>
      </w:r>
      <w:r w:rsidRPr="000B0D17">
        <w:rPr>
          <w:color w:val="00B050"/>
        </w:rPr>
        <w:t xml:space="preserve"> </w:t>
      </w:r>
      <w:r w:rsidRPr="000B0D17">
        <w:rPr>
          <w:color w:val="00000A"/>
        </w:rPr>
        <w:t>desenvolvimento.</w:t>
      </w:r>
      <w:r w:rsidRPr="000B0D17">
        <w:rPr>
          <w:color w:val="7030A0"/>
        </w:rPr>
        <w:t xml:space="preserve"> </w:t>
      </w:r>
      <w:r w:rsidRPr="000B0D17">
        <w:t>A primeira etapa será marcada pelo levantamento bibliográfico</w:t>
      </w:r>
      <w:r w:rsidRPr="000B0D17">
        <w:rPr>
          <w:color w:val="7030A0"/>
        </w:rPr>
        <w:t xml:space="preserve">, </w:t>
      </w:r>
      <w:r w:rsidRPr="000B0D17">
        <w:rPr>
          <w:color w:val="00000A"/>
        </w:rPr>
        <w:t>pela realização de</w:t>
      </w:r>
      <w:r w:rsidRPr="000B0D17">
        <w:rPr>
          <w:color w:val="00B050"/>
        </w:rPr>
        <w:t xml:space="preserve"> </w:t>
      </w:r>
      <w:r w:rsidRPr="000B0D17">
        <w:rPr>
          <w:color w:val="00000A"/>
        </w:rPr>
        <w:t>entrevistas</w:t>
      </w:r>
      <w:r w:rsidRPr="000B0D17">
        <w:t xml:space="preserve"> e </w:t>
      </w:r>
      <w:r w:rsidRPr="000B0D17">
        <w:rPr>
          <w:color w:val="00000A"/>
        </w:rPr>
        <w:t>produção de informações</w:t>
      </w:r>
      <w:r w:rsidRPr="000B0D17">
        <w:t xml:space="preserve">. </w:t>
      </w:r>
      <w:r w:rsidRPr="000B0D17">
        <w:rPr>
          <w:i/>
        </w:rPr>
        <w:t xml:space="preserve">A </w:t>
      </w:r>
      <w:proofErr w:type="spellStart"/>
      <w:r w:rsidRPr="000B0D17">
        <w:rPr>
          <w:i/>
        </w:rPr>
        <w:t>piori</w:t>
      </w:r>
      <w:proofErr w:type="spellEnd"/>
      <w:r w:rsidRPr="000B0D17">
        <w:rPr>
          <w:i/>
        </w:rPr>
        <w:t xml:space="preserve">, </w:t>
      </w:r>
      <w:r w:rsidRPr="000B0D17">
        <w:t xml:space="preserve">podemos citar que alguns dos materiais que pretendemos utilizar no levantamento </w:t>
      </w:r>
      <w:r w:rsidRPr="000B0D17">
        <w:rPr>
          <w:color w:val="00000A"/>
        </w:rPr>
        <w:t>bibliográfico</w:t>
      </w:r>
      <w:r w:rsidRPr="000B0D17">
        <w:rPr>
          <w:color w:val="C60A87"/>
        </w:rPr>
        <w:t xml:space="preserve"> </w:t>
      </w:r>
      <w:r w:rsidRPr="000B0D17">
        <w:t xml:space="preserve">são </w:t>
      </w:r>
      <w:r w:rsidRPr="000B0D17">
        <w:lastRenderedPageBreak/>
        <w:t xml:space="preserve">de autoria de </w:t>
      </w:r>
      <w:proofErr w:type="spellStart"/>
      <w:r w:rsidRPr="000B0D17">
        <w:t>Romulo</w:t>
      </w:r>
      <w:proofErr w:type="spellEnd"/>
      <w:r w:rsidRPr="000B0D17">
        <w:t xml:space="preserve"> Lins e Joaquim Gimenez (1997) e de João Ricardo Viola dos Santos (2007). Livros didáticos e paradidático</w:t>
      </w:r>
      <w:r w:rsidRPr="000B0D17">
        <w:rPr>
          <w:color w:val="00000A"/>
        </w:rPr>
        <w:t>s</w:t>
      </w:r>
      <w:r w:rsidRPr="000B0D17">
        <w:t xml:space="preserve"> também serão considerados nesta etapa, no entanto </w:t>
      </w:r>
      <w:r w:rsidRPr="000B0D17">
        <w:rPr>
          <w:color w:val="00000A"/>
        </w:rPr>
        <w:t>sua escolha se encontra em aberto.</w:t>
      </w:r>
    </w:p>
    <w:p w:rsidR="00582121" w:rsidRPr="000B0D17" w:rsidRDefault="00291D05" w:rsidP="00FD1960">
      <w:pPr>
        <w:pStyle w:val="Standard"/>
        <w:spacing w:after="0"/>
      </w:pPr>
      <w:r w:rsidRPr="000B0D17">
        <w:t xml:space="preserve">Ainda compondo a produção de informações, faremos entrevistas com professores. Porém, ao considerarmos a recomendação de Gil (2002), em entrevistar aqueles que tenham passado por experiências práticas, tomaremos por experiência </w:t>
      </w:r>
      <w:r w:rsidRPr="000B0D17">
        <w:rPr>
          <w:color w:val="00000A"/>
        </w:rPr>
        <w:t>a noção apresentada por</w:t>
      </w:r>
      <w:r w:rsidRPr="000B0D17">
        <w:rPr>
          <w:color w:val="7030A0"/>
        </w:rPr>
        <w:t xml:space="preserve"> </w:t>
      </w:r>
      <w:proofErr w:type="spellStart"/>
      <w:r w:rsidRPr="000B0D17">
        <w:rPr>
          <w:color w:val="00000A"/>
        </w:rPr>
        <w:t>Bondía</w:t>
      </w:r>
      <w:proofErr w:type="spellEnd"/>
      <w:r w:rsidRPr="000B0D17">
        <w:rPr>
          <w:color w:val="00000A"/>
        </w:rPr>
        <w:t xml:space="preserve"> (</w:t>
      </w:r>
      <w:r w:rsidRPr="000B0D17">
        <w:t xml:space="preserve">2002), </w:t>
      </w:r>
      <w:r w:rsidRPr="000B0D17">
        <w:rPr>
          <w:color w:val="00000A"/>
        </w:rPr>
        <w:t>mencionada</w:t>
      </w:r>
      <w:r w:rsidRPr="000B0D17">
        <w:t xml:space="preserve"> na introdução deste projeto. É preciso que o professor também </w:t>
      </w:r>
      <w:r w:rsidRPr="000B0D17">
        <w:rPr>
          <w:color w:val="00000A"/>
        </w:rPr>
        <w:t xml:space="preserve">tenha </w:t>
      </w:r>
      <w:r w:rsidRPr="000B0D17">
        <w:t xml:space="preserve">sido afetado por algo que se </w:t>
      </w:r>
      <w:r w:rsidRPr="000B0D17">
        <w:rPr>
          <w:color w:val="00000A"/>
        </w:rPr>
        <w:t xml:space="preserve">passa </w:t>
      </w:r>
      <w:r w:rsidRPr="000B0D17">
        <w:t>no ensino introdutório da álgebra para que ele possa contribuir com a pesquisa. Com as entrevistas temos a intenção de apresentar o que dizem esses professores, pois através de suas considerações e observações buscaremos identificar formas que marcam a comunicação no ensino introdutório da álgebra.</w:t>
      </w:r>
    </w:p>
    <w:p w:rsidR="00582121" w:rsidRDefault="00291D05" w:rsidP="00FD1960">
      <w:pPr>
        <w:pStyle w:val="Standard"/>
        <w:spacing w:after="0"/>
      </w:pPr>
      <w:r w:rsidRPr="000B0D17">
        <w:t xml:space="preserve">Esta primeira etapa do estudo </w:t>
      </w:r>
      <w:r w:rsidRPr="000B0D17">
        <w:rPr>
          <w:color w:val="00000A"/>
        </w:rPr>
        <w:t>pretende constituir</w:t>
      </w:r>
      <w:r w:rsidRPr="000B0D17">
        <w:rPr>
          <w:color w:val="FF0000"/>
        </w:rPr>
        <w:t xml:space="preserve"> </w:t>
      </w:r>
      <w:r w:rsidRPr="000B0D17">
        <w:t xml:space="preserve">um levantamento dos aspectos encontrados nas formas de comunicação que marcam o ensino da álgebra escolar. </w:t>
      </w:r>
      <w:r w:rsidRPr="000B0D17">
        <w:rPr>
          <w:color w:val="00000A"/>
        </w:rPr>
        <w:t xml:space="preserve">Conforme mencionaremos mais adiante, encontramos em </w:t>
      </w:r>
      <w:proofErr w:type="spellStart"/>
      <w:r w:rsidRPr="000B0D17">
        <w:rPr>
          <w:color w:val="00000A"/>
        </w:rPr>
        <w:t>Rancière</w:t>
      </w:r>
      <w:proofErr w:type="spellEnd"/>
      <w:r w:rsidRPr="000B0D17">
        <w:rPr>
          <w:color w:val="00000A"/>
        </w:rPr>
        <w:t xml:space="preserve"> (2015) algumas pistas a considerar, as quais comporão a produção de informações. </w:t>
      </w:r>
      <w:r w:rsidRPr="000B0D17">
        <w:t xml:space="preserve">Com base </w:t>
      </w:r>
      <w:r w:rsidRPr="000B0D17">
        <w:rPr>
          <w:color w:val="00000A"/>
        </w:rPr>
        <w:t>nestas informações</w:t>
      </w:r>
      <w:r w:rsidRPr="000B0D17">
        <w:rPr>
          <w:color w:val="7030A0"/>
        </w:rPr>
        <w:t xml:space="preserve">, </w:t>
      </w:r>
      <w:r w:rsidRPr="000B0D17">
        <w:rPr>
          <w:color w:val="00000A"/>
        </w:rPr>
        <w:t>produzidas pelas pistas, levantamento bibliográfico e entrevistas, pretendemos</w:t>
      </w:r>
      <w:r w:rsidRPr="000B0D17">
        <w:rPr>
          <w:color w:val="7030A0"/>
        </w:rPr>
        <w:t xml:space="preserve"> </w:t>
      </w:r>
      <w:r w:rsidRPr="000B0D17">
        <w:t>(re</w:t>
      </w:r>
      <w:proofErr w:type="gramStart"/>
      <w:r w:rsidRPr="000B0D17">
        <w:t>)pensar</w:t>
      </w:r>
      <w:proofErr w:type="gramEnd"/>
      <w:r w:rsidRPr="000B0D17">
        <w:t xml:space="preserve"> as formas de comunicação</w:t>
      </w:r>
      <w:r w:rsidRPr="000B0D17">
        <w:rPr>
          <w:color w:val="7030A0"/>
        </w:rPr>
        <w:t xml:space="preserve"> </w:t>
      </w:r>
      <w:r w:rsidRPr="000B0D17">
        <w:rPr>
          <w:color w:val="00000A"/>
        </w:rPr>
        <w:t>por nós</w:t>
      </w:r>
      <w:r w:rsidRPr="000B0D17">
        <w:t xml:space="preserve"> identificadas, problematizando-as com o intuito de apresentar algumas de nossas percepções, de modo que essas pistas e percepções possam também movimentar o pensamento do professor/leitor, oportunizando aberturas para outras percepções.</w:t>
      </w:r>
    </w:p>
    <w:p w:rsidR="001C093C" w:rsidRPr="000B0D17" w:rsidRDefault="001C093C" w:rsidP="00FD1960">
      <w:pPr>
        <w:pStyle w:val="Standard"/>
        <w:spacing w:after="0"/>
      </w:pPr>
    </w:p>
    <w:p w:rsidR="00582121" w:rsidRPr="000B0D17" w:rsidRDefault="00291D05" w:rsidP="00E10647">
      <w:pPr>
        <w:pStyle w:val="Heading2"/>
        <w:spacing w:before="240" w:line="360" w:lineRule="auto"/>
        <w:jc w:val="both"/>
        <w:rPr>
          <w:rFonts w:ascii="Times New Roman" w:eastAsia="Times New Roman" w:hAnsi="Times New Roman" w:cs="Times New Roman"/>
          <w:color w:val="00000A"/>
          <w:sz w:val="24"/>
          <w:szCs w:val="24"/>
          <w:lang w:eastAsia="pt-BR"/>
        </w:rPr>
      </w:pPr>
      <w:r w:rsidRPr="000B0D17">
        <w:rPr>
          <w:rFonts w:ascii="Times New Roman" w:eastAsia="Times New Roman" w:hAnsi="Times New Roman" w:cs="Times New Roman"/>
          <w:color w:val="00000A"/>
          <w:sz w:val="24"/>
          <w:szCs w:val="24"/>
          <w:lang w:eastAsia="pt-BR"/>
        </w:rPr>
        <w:t xml:space="preserve">Algumas pistas: Como </w:t>
      </w:r>
      <w:proofErr w:type="spellStart"/>
      <w:r w:rsidRPr="000B0D17">
        <w:rPr>
          <w:rFonts w:ascii="Times New Roman" w:eastAsia="Times New Roman" w:hAnsi="Times New Roman" w:cs="Times New Roman"/>
          <w:color w:val="00000A"/>
          <w:sz w:val="24"/>
          <w:szCs w:val="24"/>
          <w:lang w:eastAsia="pt-BR"/>
        </w:rPr>
        <w:t>Rancière</w:t>
      </w:r>
      <w:proofErr w:type="spellEnd"/>
      <w:r w:rsidRPr="000B0D17">
        <w:rPr>
          <w:rFonts w:ascii="Times New Roman" w:eastAsia="Times New Roman" w:hAnsi="Times New Roman" w:cs="Times New Roman"/>
          <w:color w:val="00000A"/>
          <w:sz w:val="24"/>
          <w:szCs w:val="24"/>
          <w:lang w:eastAsia="pt-BR"/>
        </w:rPr>
        <w:t xml:space="preserve"> pode contribuir para este estudo?</w:t>
      </w:r>
    </w:p>
    <w:p w:rsidR="00582121" w:rsidRPr="000B0D17" w:rsidRDefault="00291D05">
      <w:pPr>
        <w:pStyle w:val="Standarduser"/>
        <w:spacing w:line="360" w:lineRule="auto"/>
        <w:jc w:val="both"/>
      </w:pPr>
      <w:r w:rsidRPr="000B0D17">
        <w:rPr>
          <w:szCs w:val="24"/>
        </w:rPr>
        <w:t>Um dos aspectos mais marcantes em aulas de matemática, e consequentemente no ensino introdutório da álgebra escolar, é a explicação docente, conforme já mencionamos. A escola, de modo geral, é regida por uma lógica explicadora, que</w:t>
      </w:r>
      <w:r w:rsidRPr="000B0D17">
        <w:rPr>
          <w:color w:val="C00000"/>
          <w:szCs w:val="24"/>
        </w:rPr>
        <w:t xml:space="preserve"> </w:t>
      </w:r>
      <w:proofErr w:type="spellStart"/>
      <w:r w:rsidRPr="000B0D17">
        <w:rPr>
          <w:szCs w:val="24"/>
        </w:rPr>
        <w:t>Rancière</w:t>
      </w:r>
      <w:proofErr w:type="spellEnd"/>
      <w:r w:rsidR="005718F7" w:rsidRPr="000B0D17">
        <w:rPr>
          <w:szCs w:val="24"/>
        </w:rPr>
        <w:t xml:space="preserve"> (2015)</w:t>
      </w:r>
      <w:r w:rsidRPr="000B0D17">
        <w:rPr>
          <w:szCs w:val="24"/>
        </w:rPr>
        <w:t xml:space="preserve"> nos leva a questionar.</w:t>
      </w:r>
      <w:r w:rsidRPr="000B0D17">
        <w:rPr>
          <w:color w:val="C60A87"/>
          <w:szCs w:val="24"/>
        </w:rPr>
        <w:t xml:space="preserve"> </w:t>
      </w:r>
      <w:r w:rsidRPr="000B0D17">
        <w:rPr>
          <w:szCs w:val="24"/>
        </w:rPr>
        <w:t xml:space="preserve">Através da leitura de </w:t>
      </w:r>
      <w:r w:rsidRPr="000B0D17">
        <w:rPr>
          <w:i/>
          <w:szCs w:val="24"/>
        </w:rPr>
        <w:t xml:space="preserve">O mestre ignorante, </w:t>
      </w:r>
      <w:r w:rsidRPr="000B0D17">
        <w:rPr>
          <w:szCs w:val="24"/>
        </w:rPr>
        <w:t xml:space="preserve">somos convidados a “pôr em questão o modo e o sentido com que ensinamos” (KOHAN, 2003, p.224). Problematizar o papel da </w:t>
      </w:r>
      <w:r w:rsidRPr="000B0D17">
        <w:rPr>
          <w:szCs w:val="24"/>
        </w:rPr>
        <w:lastRenderedPageBreak/>
        <w:t>explicação faz parte deste convite.</w:t>
      </w:r>
      <w:r w:rsidRPr="000B0D17">
        <w:rPr>
          <w:color w:val="FF0000"/>
          <w:szCs w:val="24"/>
        </w:rPr>
        <w:t xml:space="preserve"> </w:t>
      </w:r>
      <w:r w:rsidRPr="000B0D17">
        <w:rPr>
          <w:szCs w:val="24"/>
        </w:rPr>
        <w:t>Deste modo já temos uma pista: Na álgebra introdutória, basta uma boa explicação para que o aluno compreenda?</w:t>
      </w:r>
    </w:p>
    <w:p w:rsidR="00582121" w:rsidRPr="000B0D17" w:rsidRDefault="00291D05" w:rsidP="00FD1960">
      <w:pPr>
        <w:pStyle w:val="Standard"/>
        <w:spacing w:after="0"/>
      </w:pPr>
      <w:r w:rsidRPr="000B0D17">
        <w:t xml:space="preserve">Outro questionamento que, de antemão, podemos fazer: “A vontade do aluno é imprescindível para o aprendizado?” Os alunos parecem não ter muita </w:t>
      </w:r>
      <w:r w:rsidRPr="000B0D17">
        <w:rPr>
          <w:color w:val="00000A"/>
        </w:rPr>
        <w:t>vontade de aprender</w:t>
      </w:r>
      <w:r w:rsidRPr="000B0D17">
        <w:t xml:space="preserve"> álgebra, a tão temida matéria da matemática escolar. Parecem preferir ausentarem-se desta difícil </w:t>
      </w:r>
      <w:r w:rsidRPr="000B0D17">
        <w:rPr>
          <w:color w:val="00000A"/>
        </w:rPr>
        <w:t>tarefa,</w:t>
      </w:r>
      <w:r w:rsidRPr="000B0D17">
        <w:rPr>
          <w:color w:val="FF0000"/>
        </w:rPr>
        <w:t xml:space="preserve"> </w:t>
      </w:r>
      <w:r w:rsidRPr="000B0D17">
        <w:t xml:space="preserve">justificando-se com frases como “não sei” ou “não consigo”, frases de ausência, segundo </w:t>
      </w:r>
      <w:proofErr w:type="spellStart"/>
      <w:r w:rsidRPr="000B0D17">
        <w:t>Rancière</w:t>
      </w:r>
      <w:proofErr w:type="spellEnd"/>
      <w:r w:rsidRPr="000B0D17">
        <w:t xml:space="preserve"> (2015). Eis mais uma pista: </w:t>
      </w:r>
      <w:proofErr w:type="gramStart"/>
      <w:r w:rsidRPr="000B0D17">
        <w:t>A</w:t>
      </w:r>
      <w:proofErr w:type="gramEnd"/>
      <w:r w:rsidRPr="000B0D17">
        <w:t xml:space="preserve"> vontade e as frases de ausência.</w:t>
      </w:r>
    </w:p>
    <w:p w:rsidR="00582121" w:rsidRPr="000B0D17" w:rsidRDefault="00291D05" w:rsidP="00FD1960">
      <w:pPr>
        <w:pStyle w:val="Standard"/>
        <w:spacing w:after="0"/>
      </w:pPr>
      <w:r w:rsidRPr="000B0D17">
        <w:rPr>
          <w:color w:val="00000A"/>
        </w:rPr>
        <w:t>Mas como fazer despontar uma</w:t>
      </w:r>
      <w:r w:rsidRPr="000B0D17">
        <w:rPr>
          <w:color w:val="C00000"/>
        </w:rPr>
        <w:t xml:space="preserve"> </w:t>
      </w:r>
      <w:r w:rsidRPr="000B0D17">
        <w:rPr>
          <w:color w:val="00000A"/>
        </w:rPr>
        <w:t>vontade? Enquanto professores, deveríamos nos esforçar</w:t>
      </w:r>
      <w:r w:rsidRPr="000B0D17">
        <w:rPr>
          <w:color w:val="C60A87"/>
        </w:rPr>
        <w:t xml:space="preserve"> </w:t>
      </w:r>
      <w:r w:rsidRPr="000B0D17">
        <w:rPr>
          <w:color w:val="00000A"/>
        </w:rPr>
        <w:t>para que “surja”</w:t>
      </w:r>
      <w:r w:rsidRPr="000B0D17">
        <w:rPr>
          <w:color w:val="C00000"/>
        </w:rPr>
        <w:t xml:space="preserve"> </w:t>
      </w:r>
      <w:r w:rsidRPr="000B0D17">
        <w:rPr>
          <w:color w:val="00000A"/>
        </w:rPr>
        <w:t>no aluno vontade e interesse pela matemática, pela álgebra?</w:t>
      </w:r>
      <w:r w:rsidRPr="000B0D17">
        <w:rPr>
          <w:color w:val="C60A87"/>
        </w:rPr>
        <w:t xml:space="preserve"> </w:t>
      </w:r>
      <w:r w:rsidRPr="000B0D17">
        <w:rPr>
          <w:color w:val="00000A"/>
        </w:rPr>
        <w:t>De acordo com a interpretação de Lins (2005)</w:t>
      </w:r>
      <w:r w:rsidRPr="000B0D17">
        <w:rPr>
          <w:color w:val="C00000"/>
        </w:rPr>
        <w:t xml:space="preserve"> </w:t>
      </w:r>
      <w:r w:rsidRPr="000B0D17">
        <w:rPr>
          <w:color w:val="00000A"/>
        </w:rPr>
        <w:t>sobre a educação matemática escolar, podemos dizer que não.</w:t>
      </w:r>
      <w:r w:rsidRPr="000B0D17">
        <w:rPr>
          <w:color w:val="C60A87"/>
        </w:rPr>
        <w:t xml:space="preserve"> </w:t>
      </w:r>
      <w:r w:rsidRPr="000B0D17">
        <w:rPr>
          <w:color w:val="00000A"/>
        </w:rPr>
        <w:t xml:space="preserve">Neste momento, é possível perceber uma conexão entre </w:t>
      </w:r>
      <w:proofErr w:type="spellStart"/>
      <w:r w:rsidRPr="000B0D17">
        <w:rPr>
          <w:color w:val="00000A"/>
        </w:rPr>
        <w:t>Rancière</w:t>
      </w:r>
      <w:proofErr w:type="spellEnd"/>
      <w:r w:rsidRPr="000B0D17">
        <w:rPr>
          <w:color w:val="00000A"/>
        </w:rPr>
        <w:t xml:space="preserve"> (2015) e Lins (2005): o</w:t>
      </w:r>
      <w:r w:rsidRPr="000B0D17">
        <w:rPr>
          <w:color w:val="C00000"/>
        </w:rPr>
        <w:t xml:space="preserve"> </w:t>
      </w:r>
      <w:r w:rsidRPr="000B0D17">
        <w:rPr>
          <w:color w:val="00000A"/>
        </w:rPr>
        <w:t>aluno não é obrigado a</w:t>
      </w:r>
      <w:r w:rsidRPr="000B0D17">
        <w:rPr>
          <w:color w:val="C60A87"/>
        </w:rPr>
        <w:t xml:space="preserve"> </w:t>
      </w:r>
      <w:r w:rsidRPr="000B0D17">
        <w:rPr>
          <w:color w:val="00000A"/>
        </w:rPr>
        <w:t>desejar a</w:t>
      </w:r>
      <w:r w:rsidRPr="000B0D17">
        <w:rPr>
          <w:color w:val="C60A87"/>
        </w:rPr>
        <w:t xml:space="preserve"> </w:t>
      </w:r>
      <w:r w:rsidRPr="000B0D17">
        <w:rPr>
          <w:color w:val="00000A"/>
        </w:rPr>
        <w:t>matemática como monstro de estimação. A vontade que consideramos aqui é a que movimenta o aluno</w:t>
      </w:r>
      <w:r w:rsidRPr="000B0D17">
        <w:rPr>
          <w:color w:val="C60A87"/>
        </w:rPr>
        <w:t xml:space="preserve"> </w:t>
      </w:r>
      <w:r w:rsidRPr="000B0D17">
        <w:rPr>
          <w:color w:val="00000A"/>
        </w:rPr>
        <w:t>em direção</w:t>
      </w:r>
      <w:r w:rsidRPr="000B0D17">
        <w:rPr>
          <w:color w:val="C00000"/>
        </w:rPr>
        <w:t xml:space="preserve"> </w:t>
      </w:r>
      <w:r w:rsidRPr="000B0D17">
        <w:rPr>
          <w:color w:val="00000A"/>
        </w:rPr>
        <w:t>ao reconhecimento de suas próprias capacidades. Não a vontade que induz a um</w:t>
      </w:r>
      <w:r w:rsidRPr="000B0D17">
        <w:rPr>
          <w:color w:val="C60A87"/>
        </w:rPr>
        <w:t xml:space="preserve"> </w:t>
      </w:r>
      <w:r w:rsidRPr="000B0D17">
        <w:rPr>
          <w:color w:val="00000A"/>
        </w:rPr>
        <w:t>desejo específico.</w:t>
      </w:r>
    </w:p>
    <w:p w:rsidR="00582121" w:rsidRPr="000B0D17" w:rsidRDefault="00291D05" w:rsidP="00FD1960">
      <w:pPr>
        <w:pStyle w:val="Standard"/>
        <w:spacing w:after="0"/>
      </w:pPr>
      <w:r w:rsidRPr="000B0D17">
        <w:t xml:space="preserve">Há ainda uma terceira pista: o livro. </w:t>
      </w:r>
      <w:r w:rsidRPr="000B0D17">
        <w:rPr>
          <w:color w:val="00000A"/>
        </w:rPr>
        <w:t>O livro didático, por exemplo, comunica conteúdos aos alunos, explicando-os e indicando um caminho a seguir, uma sequência</w:t>
      </w:r>
      <w:r w:rsidRPr="000B0D17">
        <w:rPr>
          <w:color w:val="FF0000"/>
        </w:rPr>
        <w:t xml:space="preserve"> </w:t>
      </w:r>
      <w:r w:rsidRPr="000B0D17">
        <w:t xml:space="preserve">e, muitas vezes, o professor parece transformar-se em um tradutor do livro, “um tradutor da inteligência do livro”, conforme </w:t>
      </w:r>
      <w:proofErr w:type="spellStart"/>
      <w:r w:rsidRPr="000B0D17">
        <w:t>Rancière</w:t>
      </w:r>
      <w:proofErr w:type="spellEnd"/>
      <w:r w:rsidRPr="000B0D17">
        <w:t xml:space="preserve"> (2015)</w:t>
      </w:r>
      <w:r w:rsidRPr="000B0D17">
        <w:rPr>
          <w:color w:val="7030A0"/>
        </w:rPr>
        <w:t xml:space="preserve"> </w:t>
      </w:r>
      <w:r w:rsidRPr="000B0D17">
        <w:rPr>
          <w:color w:val="00000A"/>
        </w:rPr>
        <w:t xml:space="preserve">ou, ainda, um tradutor da explicação do livro. </w:t>
      </w:r>
      <w:r w:rsidRPr="000B0D17">
        <w:t>Como os livros comunicam a álgebra introdutória?</w:t>
      </w:r>
      <w:r w:rsidRPr="000B0D17">
        <w:rPr>
          <w:color w:val="C60A87"/>
        </w:rPr>
        <w:t xml:space="preserve"> </w:t>
      </w:r>
      <w:r w:rsidRPr="000B0D17">
        <w:t xml:space="preserve">É suficiente apoiar-se nos livros didáticos e comunicar </w:t>
      </w:r>
      <w:r w:rsidRPr="000B0D17">
        <w:rPr>
          <w:color w:val="00000A"/>
        </w:rPr>
        <w:t>ao aluno</w:t>
      </w:r>
      <w:r w:rsidRPr="000B0D17">
        <w:rPr>
          <w:color w:val="7030A0"/>
        </w:rPr>
        <w:t xml:space="preserve"> </w:t>
      </w:r>
      <w:r w:rsidRPr="000B0D17">
        <w:t>aquilo que o livro comunica por si só? Qual a relação Professor – Livro – Aluno?</w:t>
      </w:r>
    </w:p>
    <w:p w:rsidR="00582121" w:rsidRPr="000B0D17" w:rsidRDefault="00291D05" w:rsidP="00FD1960">
      <w:pPr>
        <w:pStyle w:val="Standard"/>
        <w:spacing w:after="0"/>
      </w:pPr>
      <w:r w:rsidRPr="000B0D17">
        <w:t xml:space="preserve">A partir destas pistas, identificadas de modo empírico, foi possível </w:t>
      </w:r>
      <w:r w:rsidRPr="000B0D17">
        <w:rPr>
          <w:color w:val="00000A"/>
        </w:rPr>
        <w:t xml:space="preserve">estabelecer algumas conexões entre o ensino da matemática escolar e </w:t>
      </w:r>
      <w:proofErr w:type="spellStart"/>
      <w:r w:rsidRPr="000B0D17">
        <w:rPr>
          <w:color w:val="00000A"/>
        </w:rPr>
        <w:t>Rancière</w:t>
      </w:r>
      <w:proofErr w:type="spellEnd"/>
      <w:r w:rsidRPr="000B0D17">
        <w:rPr>
          <w:color w:val="00000A"/>
        </w:rPr>
        <w:t xml:space="preserve"> (2015), encontrando espaços para</w:t>
      </w:r>
      <w:r w:rsidRPr="000B0D17">
        <w:rPr>
          <w:color w:val="7030A0"/>
        </w:rPr>
        <w:t xml:space="preserve"> </w:t>
      </w:r>
      <w:r w:rsidRPr="000B0D17">
        <w:rPr>
          <w:color w:val="00000A"/>
        </w:rPr>
        <w:t xml:space="preserve">problematizar </w:t>
      </w:r>
      <w:r w:rsidRPr="000B0D17">
        <w:t>e produzir informações que nos permitam</w:t>
      </w:r>
      <w:r w:rsidRPr="000B0D17">
        <w:rPr>
          <w:color w:val="7030A0"/>
        </w:rPr>
        <w:t xml:space="preserve"> </w:t>
      </w:r>
      <w:r w:rsidRPr="000B0D17">
        <w:t>(re</w:t>
      </w:r>
      <w:proofErr w:type="gramStart"/>
      <w:r w:rsidRPr="000B0D17">
        <w:t>)pensar</w:t>
      </w:r>
      <w:proofErr w:type="gramEnd"/>
      <w:r w:rsidRPr="000B0D17">
        <w:t xml:space="preserve"> formas de comunicação </w:t>
      </w:r>
      <w:r w:rsidRPr="000B0D17">
        <w:rPr>
          <w:color w:val="00000A"/>
        </w:rPr>
        <w:t>no ensino introdutório da álgebra escolar.</w:t>
      </w:r>
    </w:p>
    <w:p w:rsidR="00582121" w:rsidRPr="000B0D17" w:rsidRDefault="00582121" w:rsidP="00FD1960">
      <w:pPr>
        <w:pStyle w:val="Standard"/>
        <w:spacing w:before="120" w:after="0"/>
        <w:rPr>
          <w:b/>
          <w:color w:val="00000A"/>
        </w:rPr>
      </w:pPr>
    </w:p>
    <w:p w:rsidR="00582121" w:rsidRPr="000B0D17" w:rsidRDefault="00291D05">
      <w:pPr>
        <w:pStyle w:val="Standard"/>
        <w:spacing w:before="120" w:after="0"/>
        <w:rPr>
          <w:b/>
          <w:color w:val="00000A"/>
        </w:rPr>
      </w:pPr>
      <w:r w:rsidRPr="000B0D17">
        <w:rPr>
          <w:b/>
          <w:color w:val="00000A"/>
        </w:rPr>
        <w:t>Referências</w:t>
      </w:r>
    </w:p>
    <w:p w:rsidR="000D3E8F" w:rsidRPr="000B0D17" w:rsidRDefault="000D3E8F" w:rsidP="000D3E8F">
      <w:pPr>
        <w:pStyle w:val="Referencias"/>
        <w:spacing w:before="120" w:after="120"/>
      </w:pPr>
      <w:r w:rsidRPr="000B0D17">
        <w:lastRenderedPageBreak/>
        <w:t>BONDÍA, J. L. Notas sobre a experiência e o saber da experiência.</w:t>
      </w:r>
      <w:r w:rsidRPr="000B0D17">
        <w:rPr>
          <w:b/>
        </w:rPr>
        <w:t xml:space="preserve"> Revista Brasileira de Educação</w:t>
      </w:r>
      <w:r w:rsidRPr="000B0D17">
        <w:t>. Campinas, n.19, p.20-28. 2002</w:t>
      </w:r>
    </w:p>
    <w:p w:rsidR="00582121" w:rsidRPr="000B0D17" w:rsidRDefault="00291D05">
      <w:pPr>
        <w:pStyle w:val="Referencias"/>
        <w:spacing w:before="120" w:after="120"/>
      </w:pPr>
      <w:r w:rsidRPr="000B0D17">
        <w:t xml:space="preserve">CAMARGO, G. </w:t>
      </w:r>
      <w:r w:rsidRPr="000B0D17">
        <w:rPr>
          <w:b/>
        </w:rPr>
        <w:t>O ato da explicação e o aprender</w:t>
      </w:r>
      <w:r w:rsidRPr="000B0D17">
        <w:t>: Experiências com o ensino da matemática. Trabalho de conclusão de curso. UFRGS. Porto Alegre. 2011. Disponível em:&lt;http://www.lume.ufrgs.br/bitstream/handle/10183/31956/000784059.pdf&gt;. Acesso em: 07/06/2017.</w:t>
      </w:r>
    </w:p>
    <w:p w:rsidR="00582121" w:rsidRPr="000B0D17" w:rsidRDefault="00291D05">
      <w:pPr>
        <w:pStyle w:val="Referencias"/>
        <w:spacing w:before="120" w:after="120"/>
      </w:pPr>
      <w:r w:rsidRPr="000B0D17">
        <w:t xml:space="preserve">GIL, A. C. </w:t>
      </w:r>
      <w:r w:rsidRPr="000B0D17">
        <w:rPr>
          <w:b/>
        </w:rPr>
        <w:t>Como elaborar projetos de pesquisa</w:t>
      </w:r>
      <w:r w:rsidRPr="000B0D17">
        <w:t xml:space="preserve">. 4ª edição. São Paulo: Atlas, 2002.  </w:t>
      </w:r>
    </w:p>
    <w:p w:rsidR="00582121" w:rsidRPr="000B0D17" w:rsidRDefault="00291D05">
      <w:pPr>
        <w:pStyle w:val="Referencias"/>
        <w:spacing w:before="120" w:after="120"/>
      </w:pPr>
      <w:r w:rsidRPr="000B0D17">
        <w:t xml:space="preserve">KOHAN, W. Três lições de filosofia da educação. </w:t>
      </w:r>
      <w:r w:rsidRPr="000B0D17">
        <w:rPr>
          <w:b/>
        </w:rPr>
        <w:t>Educação &amp; Sociedade.</w:t>
      </w:r>
      <w:r w:rsidRPr="000B0D17">
        <w:t xml:space="preserve"> Campinas. </w:t>
      </w:r>
      <w:proofErr w:type="gramStart"/>
      <w:r w:rsidRPr="000B0D17">
        <w:t>vol.</w:t>
      </w:r>
      <w:proofErr w:type="gramEnd"/>
      <w:r w:rsidRPr="000B0D17">
        <w:t xml:space="preserve">24, n.82. </w:t>
      </w:r>
      <w:proofErr w:type="gramStart"/>
      <w:r w:rsidRPr="000B0D17">
        <w:t>p.</w:t>
      </w:r>
      <w:proofErr w:type="gramEnd"/>
      <w:r w:rsidRPr="000B0D17">
        <w:t>221-228. 2003.</w:t>
      </w:r>
    </w:p>
    <w:p w:rsidR="00582121" w:rsidRPr="000B0D17" w:rsidRDefault="00291D05">
      <w:pPr>
        <w:pStyle w:val="Referencias"/>
        <w:spacing w:before="120" w:after="120"/>
      </w:pPr>
      <w:r w:rsidRPr="000B0D17">
        <w:t>LINS, R. C. ______. Matemática, monstros, significados e educação matemática. In: BICUDO, Maria A. V.; BORBA, Marcelo de C. (</w:t>
      </w:r>
      <w:proofErr w:type="spellStart"/>
      <w:r w:rsidRPr="000B0D17">
        <w:t>Orgs</w:t>
      </w:r>
      <w:proofErr w:type="spellEnd"/>
      <w:r w:rsidRPr="000B0D17">
        <w:t xml:space="preserve">.). </w:t>
      </w:r>
      <w:r w:rsidRPr="000B0D17">
        <w:rPr>
          <w:b/>
        </w:rPr>
        <w:t>Educação Matemática: pesquisa em movimento.</w:t>
      </w:r>
      <w:r w:rsidRPr="000B0D17">
        <w:t xml:space="preserve"> 2ª Edição. São Paulo: Cortez, 2005. </w:t>
      </w:r>
      <w:proofErr w:type="gramStart"/>
      <w:r w:rsidRPr="000B0D17">
        <w:t>p.</w:t>
      </w:r>
      <w:proofErr w:type="gramEnd"/>
      <w:r w:rsidRPr="000B0D17">
        <w:t xml:space="preserve"> 92-120.</w:t>
      </w:r>
    </w:p>
    <w:p w:rsidR="00582121" w:rsidRPr="000B0D17" w:rsidRDefault="00291D05">
      <w:pPr>
        <w:pStyle w:val="Referencias"/>
        <w:spacing w:before="120" w:after="120"/>
      </w:pPr>
      <w:r w:rsidRPr="000B0D17">
        <w:t xml:space="preserve">LINS, R. C.; GIMENEZ. J. </w:t>
      </w:r>
      <w:r w:rsidRPr="000B0D17">
        <w:rPr>
          <w:b/>
        </w:rPr>
        <w:t>Perspectivas em aritmética e álgebra para o século XXI</w:t>
      </w:r>
      <w:r w:rsidRPr="000B0D17">
        <w:t xml:space="preserve">. São Paulo: </w:t>
      </w:r>
      <w:proofErr w:type="spellStart"/>
      <w:r w:rsidRPr="000B0D17">
        <w:t>Papirus</w:t>
      </w:r>
      <w:proofErr w:type="spellEnd"/>
      <w:r w:rsidRPr="000B0D17">
        <w:t>, 1997.</w:t>
      </w:r>
    </w:p>
    <w:p w:rsidR="00582121" w:rsidRPr="000B0D17" w:rsidRDefault="00291D05">
      <w:pPr>
        <w:pStyle w:val="Standarduser"/>
        <w:spacing w:before="120" w:after="120"/>
        <w:jc w:val="both"/>
      </w:pPr>
      <w:r w:rsidRPr="000B0D17">
        <w:rPr>
          <w:szCs w:val="24"/>
        </w:rPr>
        <w:t xml:space="preserve">NOBRE, S. Alguns “porquês” na História da Matemática e suas contribuições para a Educação Matemática. </w:t>
      </w:r>
      <w:proofErr w:type="gramStart"/>
      <w:r w:rsidRPr="000B0D17">
        <w:rPr>
          <w:b/>
          <w:szCs w:val="24"/>
        </w:rPr>
        <w:t>Cadernos Cedes</w:t>
      </w:r>
      <w:proofErr w:type="gramEnd"/>
      <w:r w:rsidRPr="000B0D17">
        <w:rPr>
          <w:szCs w:val="24"/>
        </w:rPr>
        <w:t xml:space="preserve">. Campinas, n.40, 1996. </w:t>
      </w:r>
      <w:proofErr w:type="gramStart"/>
      <w:r w:rsidRPr="000B0D17">
        <w:rPr>
          <w:szCs w:val="24"/>
        </w:rPr>
        <w:t>p.</w:t>
      </w:r>
      <w:proofErr w:type="gramEnd"/>
      <w:r w:rsidRPr="000B0D17">
        <w:rPr>
          <w:szCs w:val="24"/>
        </w:rPr>
        <w:t xml:space="preserve"> 29-35.</w:t>
      </w:r>
    </w:p>
    <w:p w:rsidR="00582121" w:rsidRPr="000B0D17" w:rsidRDefault="00291D05">
      <w:pPr>
        <w:pStyle w:val="Standard"/>
        <w:spacing w:before="120" w:line="240" w:lineRule="auto"/>
        <w:jc w:val="left"/>
      </w:pPr>
      <w:r w:rsidRPr="000B0D17">
        <w:t>RANCIÈRE, J</w:t>
      </w:r>
      <w:r w:rsidRPr="000B0D17">
        <w:rPr>
          <w:i/>
        </w:rPr>
        <w:t xml:space="preserve">. </w:t>
      </w:r>
      <w:r w:rsidRPr="000B0D17">
        <w:rPr>
          <w:b/>
        </w:rPr>
        <w:t>O mestre ignorante</w:t>
      </w:r>
      <w:r w:rsidRPr="000B0D17">
        <w:t>: Cinco lições sobre a emancipação intelectual. 3ª Edição. Belo Horizonte: Autêntica. 2015.</w:t>
      </w:r>
    </w:p>
    <w:p w:rsidR="00582121" w:rsidRPr="000B0D17" w:rsidRDefault="00291D05">
      <w:pPr>
        <w:pStyle w:val="Referencias"/>
        <w:spacing w:before="120" w:after="120"/>
      </w:pPr>
      <w:r w:rsidRPr="000B0D17">
        <w:rPr>
          <w:rFonts w:eastAsia="Calibri"/>
        </w:rPr>
        <w:t xml:space="preserve">VIOLA DOS SANTOS, J. R. </w:t>
      </w:r>
      <w:r w:rsidRPr="000B0D17">
        <w:rPr>
          <w:rFonts w:eastAsia="Calibri"/>
          <w:b/>
        </w:rPr>
        <w:t>O que alunos da escola básica mostram saber por meio de sua produção escrita em matemática</w:t>
      </w:r>
      <w:r w:rsidRPr="000B0D17">
        <w:rPr>
          <w:rFonts w:eastAsia="Calibri"/>
        </w:rPr>
        <w:t>. 2007. 108f.</w:t>
      </w:r>
      <w:r w:rsidRPr="000B0D17">
        <w:t xml:space="preserve"> Dissertação (Mestrado em Ensino de Ciências e Educação Matemática) – Universidade Estadual de Londrina, Londrina. 2007.</w:t>
      </w:r>
    </w:p>
    <w:sectPr w:rsidR="00582121" w:rsidRPr="000B0D17" w:rsidSect="00582121">
      <w:headerReference w:type="default" r:id="rId7"/>
      <w:pgSz w:w="11906" w:h="16838"/>
      <w:pgMar w:top="1701" w:right="1418" w:bottom="1418" w:left="1701" w:header="14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E89" w:rsidRDefault="00123E89" w:rsidP="00582121">
      <w:r>
        <w:separator/>
      </w:r>
    </w:p>
  </w:endnote>
  <w:endnote w:type="continuationSeparator" w:id="0">
    <w:p w:rsidR="00123E89" w:rsidRDefault="00123E89" w:rsidP="005821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E89" w:rsidRDefault="00123E89" w:rsidP="00582121">
      <w:r w:rsidRPr="00582121">
        <w:rPr>
          <w:color w:val="000000"/>
        </w:rPr>
        <w:separator/>
      </w:r>
    </w:p>
  </w:footnote>
  <w:footnote w:type="continuationSeparator" w:id="0">
    <w:p w:rsidR="00123E89" w:rsidRDefault="00123E89" w:rsidP="00582121">
      <w:r>
        <w:continuationSeparator/>
      </w:r>
    </w:p>
  </w:footnote>
  <w:footnote w:id="1">
    <w:p w:rsidR="00582121" w:rsidRDefault="00291D05">
      <w:pPr>
        <w:pStyle w:val="Textodenotaderodap"/>
      </w:pPr>
      <w:r w:rsidRPr="00582121">
        <w:rPr>
          <w:rStyle w:val="Refdenotaderodap"/>
        </w:rPr>
        <w:footnoteRef/>
      </w:r>
      <w:r>
        <w:t xml:space="preserve">Universidade Federal do Rio Grande do Sul, e-mail: fernanda.fdal@gmail.br, orientador: Dr. Francisco </w:t>
      </w:r>
      <w:proofErr w:type="spellStart"/>
      <w:r>
        <w:t>Egger</w:t>
      </w:r>
      <w:proofErr w:type="spellEnd"/>
      <w:r>
        <w:t xml:space="preserve"> </w:t>
      </w:r>
      <w:proofErr w:type="spellStart"/>
      <w:r>
        <w:t>Moellwald</w:t>
      </w:r>
      <w:proofErr w:type="spellEnd"/>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121" w:rsidRDefault="00582121">
    <w:pPr>
      <w:pStyle w:val="Cabealho1"/>
      <w:jc w:val="center"/>
    </w:pPr>
    <w:r>
      <w:rPr>
        <w:noProof/>
      </w:rPr>
      <w:drawing>
        <wp:inline distT="0" distB="0" distL="0" distR="0">
          <wp:extent cx="4985279" cy="1463039"/>
          <wp:effectExtent l="0" t="0" r="0" b="0"/>
          <wp:docPr id="1" name="Imagem 1" descr="D:\EBRAPEM\arte_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4985279" cy="1463039"/>
                  </a:xfrm>
                  <a:prstGeom prst="rect">
                    <a:avLst/>
                  </a:prstGeom>
                  <a:ln>
                    <a:noFill/>
                    <a:prstDash/>
                  </a:ln>
                </pic:spPr>
              </pic:pic>
            </a:graphicData>
          </a:graphic>
        </wp:inline>
      </w:drawing>
    </w:r>
  </w:p>
  <w:p w:rsidR="00582121" w:rsidRDefault="00582121">
    <w:pPr>
      <w:pStyle w:val="Cabealho1"/>
      <w:tabs>
        <w:tab w:val="center" w:pos="0"/>
      </w:tabs>
    </w:pPr>
  </w:p>
  <w:p w:rsidR="00582121" w:rsidRDefault="00582121">
    <w:pPr>
      <w:pStyle w:val="Cabealho1"/>
      <w:tabs>
        <w:tab w:val="center" w:pos="0"/>
      </w:tabs>
    </w:pPr>
  </w:p>
  <w:p w:rsidR="00582121" w:rsidRDefault="00582121">
    <w:pPr>
      <w:pStyle w:val="Cabealho1"/>
      <w:tabs>
        <w:tab w:val="center" w:pos="0"/>
      </w:tabs>
    </w:pPr>
  </w:p>
  <w:p w:rsidR="00582121" w:rsidRDefault="00582121">
    <w:pPr>
      <w:pStyle w:val="Cabealho1"/>
      <w:tabs>
        <w:tab w:val="center" w:pos="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D2123"/>
    <w:multiLevelType w:val="multilevel"/>
    <w:tmpl w:val="FBFED1D4"/>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582121"/>
    <w:rsid w:val="00000FC8"/>
    <w:rsid w:val="000126D5"/>
    <w:rsid w:val="000B0D17"/>
    <w:rsid w:val="000D3E8F"/>
    <w:rsid w:val="00123E89"/>
    <w:rsid w:val="001506E7"/>
    <w:rsid w:val="001C093C"/>
    <w:rsid w:val="00291D05"/>
    <w:rsid w:val="00400F41"/>
    <w:rsid w:val="005718F7"/>
    <w:rsid w:val="005804DE"/>
    <w:rsid w:val="00582121"/>
    <w:rsid w:val="005C350D"/>
    <w:rsid w:val="005C5902"/>
    <w:rsid w:val="00672438"/>
    <w:rsid w:val="007F3787"/>
    <w:rsid w:val="008231AE"/>
    <w:rsid w:val="00E10647"/>
    <w:rsid w:val="00FA0B24"/>
    <w:rsid w:val="00FD19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3"/>
        <w:sz w:val="24"/>
        <w:lang w:val="pt-BR" w:eastAsia="pt-B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43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582121"/>
    <w:pPr>
      <w:widowControl/>
      <w:spacing w:after="120" w:line="360" w:lineRule="auto"/>
      <w:jc w:val="both"/>
    </w:pPr>
    <w:rPr>
      <w:rFonts w:ascii="Times New Roman" w:eastAsia="Times New Roman" w:hAnsi="Times New Roman"/>
      <w:color w:val="000000"/>
      <w:szCs w:val="24"/>
    </w:rPr>
  </w:style>
  <w:style w:type="paragraph" w:customStyle="1" w:styleId="Heading">
    <w:name w:val="Heading"/>
    <w:basedOn w:val="Standard"/>
    <w:next w:val="Textbody"/>
    <w:rsid w:val="00582121"/>
    <w:pPr>
      <w:keepNext/>
      <w:spacing w:before="240"/>
    </w:pPr>
    <w:rPr>
      <w:rFonts w:ascii="Liberation Sans" w:eastAsia="Microsoft YaHei" w:hAnsi="Liberation Sans" w:cs="Lucida Sans"/>
      <w:sz w:val="28"/>
      <w:szCs w:val="28"/>
    </w:rPr>
  </w:style>
  <w:style w:type="paragraph" w:customStyle="1" w:styleId="Textbody">
    <w:name w:val="Text body"/>
    <w:basedOn w:val="Standard"/>
    <w:rsid w:val="00582121"/>
    <w:pPr>
      <w:spacing w:after="140" w:line="288" w:lineRule="auto"/>
    </w:pPr>
  </w:style>
  <w:style w:type="paragraph" w:styleId="Lista">
    <w:name w:val="List"/>
    <w:basedOn w:val="Textbody"/>
    <w:rsid w:val="00582121"/>
  </w:style>
  <w:style w:type="paragraph" w:customStyle="1" w:styleId="Caption">
    <w:name w:val="Caption"/>
    <w:basedOn w:val="Standard"/>
    <w:rsid w:val="00582121"/>
    <w:pPr>
      <w:suppressLineNumbers/>
      <w:spacing w:before="120"/>
    </w:pPr>
    <w:rPr>
      <w:rFonts w:cs="Lucida Sans"/>
      <w:i/>
      <w:iCs/>
    </w:rPr>
  </w:style>
  <w:style w:type="paragraph" w:customStyle="1" w:styleId="Index">
    <w:name w:val="Index"/>
    <w:basedOn w:val="Standard"/>
    <w:rsid w:val="00582121"/>
    <w:pPr>
      <w:suppressLineNumbers/>
    </w:pPr>
  </w:style>
  <w:style w:type="paragraph" w:customStyle="1" w:styleId="Heading2">
    <w:name w:val="Heading 2"/>
    <w:basedOn w:val="Standard"/>
    <w:next w:val="Standard"/>
    <w:rsid w:val="00582121"/>
    <w:pPr>
      <w:keepNext/>
      <w:keepLines/>
      <w:spacing w:before="200" w:after="0" w:line="276" w:lineRule="auto"/>
      <w:jc w:val="left"/>
      <w:outlineLvl w:val="1"/>
    </w:pPr>
    <w:rPr>
      <w:rFonts w:ascii="Cambria" w:eastAsia="F" w:hAnsi="Cambria" w:cs="F"/>
      <w:b/>
      <w:bCs/>
      <w:color w:val="4F81BD"/>
      <w:sz w:val="26"/>
      <w:szCs w:val="26"/>
      <w:lang w:eastAsia="en-US"/>
    </w:rPr>
  </w:style>
  <w:style w:type="paragraph" w:customStyle="1" w:styleId="Heading3">
    <w:name w:val="Heading 3"/>
    <w:basedOn w:val="Standard"/>
    <w:next w:val="Standard"/>
    <w:rsid w:val="00582121"/>
    <w:pPr>
      <w:keepNext/>
      <w:keepLines/>
      <w:spacing w:before="200" w:after="0" w:line="276" w:lineRule="auto"/>
      <w:jc w:val="left"/>
      <w:outlineLvl w:val="2"/>
    </w:pPr>
    <w:rPr>
      <w:rFonts w:ascii="Cambria" w:eastAsia="F" w:hAnsi="Cambria" w:cs="F"/>
      <w:b/>
      <w:bCs/>
      <w:color w:val="4F81BD"/>
      <w:sz w:val="22"/>
      <w:szCs w:val="22"/>
      <w:lang w:eastAsia="en-US"/>
    </w:rPr>
  </w:style>
  <w:style w:type="paragraph" w:customStyle="1" w:styleId="Ttulo31">
    <w:name w:val="Título 31"/>
    <w:basedOn w:val="Standard"/>
    <w:rsid w:val="00582121"/>
    <w:pPr>
      <w:spacing w:before="280" w:after="280" w:line="240" w:lineRule="auto"/>
      <w:jc w:val="left"/>
      <w:outlineLvl w:val="2"/>
    </w:pPr>
    <w:rPr>
      <w:b/>
      <w:bCs/>
      <w:color w:val="00000A"/>
      <w:sz w:val="27"/>
      <w:szCs w:val="27"/>
    </w:rPr>
  </w:style>
  <w:style w:type="paragraph" w:styleId="Ttulo">
    <w:name w:val="Title"/>
    <w:basedOn w:val="Standard"/>
    <w:rsid w:val="00582121"/>
    <w:pPr>
      <w:keepNext/>
      <w:spacing w:before="240"/>
    </w:pPr>
    <w:rPr>
      <w:rFonts w:ascii="Liberation Sans" w:eastAsia="Arial Unicode MS" w:hAnsi="Liberation Sans" w:cs="Arial Unicode MS"/>
      <w:sz w:val="28"/>
      <w:szCs w:val="28"/>
    </w:rPr>
  </w:style>
  <w:style w:type="paragraph" w:customStyle="1" w:styleId="Legenda1">
    <w:name w:val="Legenda1"/>
    <w:basedOn w:val="Standard"/>
    <w:rsid w:val="00582121"/>
    <w:pPr>
      <w:suppressLineNumbers/>
      <w:spacing w:before="120"/>
    </w:pPr>
    <w:rPr>
      <w:i/>
      <w:iCs/>
    </w:rPr>
  </w:style>
  <w:style w:type="paragraph" w:styleId="Textodenotaderodap">
    <w:name w:val="footnote text"/>
    <w:basedOn w:val="Standard"/>
    <w:rsid w:val="00582121"/>
    <w:pPr>
      <w:spacing w:after="0" w:line="240" w:lineRule="auto"/>
    </w:pPr>
    <w:rPr>
      <w:sz w:val="20"/>
      <w:szCs w:val="20"/>
    </w:rPr>
  </w:style>
  <w:style w:type="paragraph" w:customStyle="1" w:styleId="Resumo">
    <w:name w:val="Resumo"/>
    <w:basedOn w:val="Standard"/>
    <w:rsid w:val="00582121"/>
    <w:pPr>
      <w:spacing w:after="0" w:line="240" w:lineRule="auto"/>
    </w:pPr>
    <w:rPr>
      <w:sz w:val="20"/>
      <w:szCs w:val="20"/>
    </w:rPr>
  </w:style>
  <w:style w:type="paragraph" w:customStyle="1" w:styleId="Palavras-chave">
    <w:name w:val="Palavras-chave"/>
    <w:basedOn w:val="Standard"/>
    <w:rsid w:val="00582121"/>
    <w:pPr>
      <w:spacing w:before="240" w:after="0" w:line="240" w:lineRule="auto"/>
    </w:pPr>
    <w:rPr>
      <w:sz w:val="20"/>
      <w:szCs w:val="20"/>
    </w:rPr>
  </w:style>
  <w:style w:type="paragraph" w:customStyle="1" w:styleId="GD">
    <w:name w:val="GD"/>
    <w:basedOn w:val="Standard"/>
    <w:rsid w:val="00582121"/>
    <w:pPr>
      <w:spacing w:after="240" w:line="225" w:lineRule="atLeast"/>
      <w:jc w:val="center"/>
    </w:pPr>
  </w:style>
  <w:style w:type="paragraph" w:customStyle="1" w:styleId="Autor">
    <w:name w:val="Autor"/>
    <w:basedOn w:val="Standard"/>
    <w:rsid w:val="00582121"/>
    <w:pPr>
      <w:spacing w:after="480"/>
      <w:jc w:val="right"/>
    </w:pPr>
  </w:style>
  <w:style w:type="paragraph" w:customStyle="1" w:styleId="Ttulodotrabalho">
    <w:name w:val="Título do trabalho"/>
    <w:basedOn w:val="Standard"/>
    <w:rsid w:val="00582121"/>
    <w:pPr>
      <w:spacing w:after="480"/>
      <w:jc w:val="center"/>
    </w:pPr>
    <w:rPr>
      <w:b/>
      <w:sz w:val="28"/>
    </w:rPr>
  </w:style>
  <w:style w:type="paragraph" w:styleId="PargrafodaLista">
    <w:name w:val="List Paragraph"/>
    <w:basedOn w:val="Standard"/>
    <w:rsid w:val="00582121"/>
    <w:pPr>
      <w:ind w:left="720"/>
    </w:pPr>
  </w:style>
  <w:style w:type="paragraph" w:customStyle="1" w:styleId="Textodenotaderodap1">
    <w:name w:val="Texto de nota de rodapé1"/>
    <w:basedOn w:val="Textodenotaderodap"/>
    <w:rsid w:val="00582121"/>
  </w:style>
  <w:style w:type="paragraph" w:customStyle="1" w:styleId="Seo">
    <w:name w:val="Seção"/>
    <w:basedOn w:val="Standard"/>
    <w:rsid w:val="00582121"/>
    <w:rPr>
      <w:b/>
    </w:rPr>
  </w:style>
  <w:style w:type="paragraph" w:customStyle="1" w:styleId="Subseo">
    <w:name w:val="Subseção"/>
    <w:basedOn w:val="Standard"/>
    <w:rsid w:val="00582121"/>
    <w:rPr>
      <w:i/>
    </w:rPr>
  </w:style>
  <w:style w:type="paragraph" w:customStyle="1" w:styleId="Textoartigo">
    <w:name w:val="Texto_artigo"/>
    <w:basedOn w:val="Standard"/>
    <w:autoRedefine/>
    <w:rsid w:val="00582121"/>
    <w:pPr>
      <w:spacing w:after="0" w:line="240" w:lineRule="auto"/>
      <w:ind w:firstLine="709"/>
    </w:pPr>
    <w:rPr>
      <w:color w:val="00000A"/>
      <w:szCs w:val="20"/>
    </w:rPr>
  </w:style>
  <w:style w:type="paragraph" w:customStyle="1" w:styleId="Legendadefigura">
    <w:name w:val="Legenda_de_figura"/>
    <w:basedOn w:val="Standard"/>
    <w:autoRedefine/>
    <w:rsid w:val="00582121"/>
    <w:pPr>
      <w:spacing w:line="240" w:lineRule="auto"/>
      <w:jc w:val="center"/>
    </w:pPr>
    <w:rPr>
      <w:b/>
      <w:color w:val="00000A"/>
      <w:sz w:val="22"/>
      <w:szCs w:val="20"/>
    </w:rPr>
  </w:style>
  <w:style w:type="paragraph" w:styleId="Legenda">
    <w:name w:val="caption"/>
    <w:basedOn w:val="Standard"/>
    <w:next w:val="Standard"/>
    <w:rsid w:val="00582121"/>
    <w:pPr>
      <w:spacing w:before="120" w:line="240" w:lineRule="auto"/>
      <w:jc w:val="left"/>
    </w:pPr>
    <w:rPr>
      <w:b/>
      <w:bCs/>
      <w:color w:val="00000A"/>
      <w:sz w:val="20"/>
      <w:szCs w:val="20"/>
    </w:rPr>
  </w:style>
  <w:style w:type="paragraph" w:styleId="Textodebalo">
    <w:name w:val="Balloon Text"/>
    <w:basedOn w:val="Standard"/>
    <w:rsid w:val="00582121"/>
    <w:pPr>
      <w:spacing w:after="0" w:line="240" w:lineRule="auto"/>
    </w:pPr>
    <w:rPr>
      <w:rFonts w:ascii="Tahoma" w:hAnsi="Tahoma" w:cs="Tahoma"/>
      <w:sz w:val="16"/>
      <w:szCs w:val="16"/>
    </w:rPr>
  </w:style>
  <w:style w:type="paragraph" w:customStyle="1" w:styleId="Tabelas">
    <w:name w:val="Tabelas"/>
    <w:basedOn w:val="Standard"/>
    <w:autoRedefine/>
    <w:rsid w:val="00582121"/>
    <w:pPr>
      <w:spacing w:before="60" w:after="60" w:line="240" w:lineRule="auto"/>
      <w:ind w:left="72"/>
      <w:jc w:val="center"/>
    </w:pPr>
    <w:rPr>
      <w:color w:val="00000A"/>
      <w:szCs w:val="20"/>
    </w:rPr>
  </w:style>
  <w:style w:type="paragraph" w:styleId="NormalWeb">
    <w:name w:val="Normal (Web)"/>
    <w:basedOn w:val="Standard"/>
    <w:rsid w:val="00582121"/>
    <w:pPr>
      <w:spacing w:before="280" w:after="280" w:line="240" w:lineRule="auto"/>
      <w:jc w:val="left"/>
    </w:pPr>
  </w:style>
  <w:style w:type="paragraph" w:styleId="TextosemFormatao">
    <w:name w:val="Plain Text"/>
    <w:basedOn w:val="Standard"/>
    <w:rsid w:val="00582121"/>
    <w:pPr>
      <w:spacing w:after="0" w:line="240" w:lineRule="auto"/>
      <w:jc w:val="left"/>
    </w:pPr>
    <w:rPr>
      <w:rFonts w:ascii="Courier New" w:hAnsi="Courier New"/>
      <w:color w:val="00000A"/>
      <w:sz w:val="20"/>
      <w:lang w:val="hr-HR" w:eastAsia="de-DE"/>
    </w:rPr>
  </w:style>
  <w:style w:type="paragraph" w:customStyle="1" w:styleId="TtuloSeoArtigo">
    <w:name w:val="Título_Seção_Artigo"/>
    <w:basedOn w:val="Standard"/>
    <w:next w:val="Standard"/>
    <w:autoRedefine/>
    <w:rsid w:val="00582121"/>
    <w:pPr>
      <w:spacing w:before="420" w:after="0" w:line="240" w:lineRule="auto"/>
      <w:jc w:val="left"/>
    </w:pPr>
    <w:rPr>
      <w:rFonts w:ascii="Calibri" w:hAnsi="Calibri"/>
      <w:b/>
      <w:smallCaps/>
      <w:color w:val="00000A"/>
      <w:szCs w:val="20"/>
    </w:rPr>
  </w:style>
  <w:style w:type="paragraph" w:customStyle="1" w:styleId="Referencias">
    <w:name w:val="Referencias"/>
    <w:basedOn w:val="Standard"/>
    <w:autoRedefine/>
    <w:rsid w:val="00582121"/>
    <w:pPr>
      <w:spacing w:after="0" w:line="240" w:lineRule="auto"/>
      <w:jc w:val="left"/>
    </w:pPr>
    <w:rPr>
      <w:color w:val="00000A"/>
    </w:rPr>
  </w:style>
  <w:style w:type="paragraph" w:customStyle="1" w:styleId="PMEReferences">
    <w:name w:val="PME References"/>
    <w:basedOn w:val="Standard"/>
    <w:rsid w:val="00582121"/>
    <w:pPr>
      <w:spacing w:line="260" w:lineRule="atLeast"/>
      <w:ind w:left="289" w:hanging="289"/>
    </w:pPr>
    <w:rPr>
      <w:color w:val="00000A"/>
      <w:sz w:val="26"/>
      <w:szCs w:val="26"/>
      <w:lang w:val="en-AU" w:eastAsia="es-ES"/>
    </w:rPr>
  </w:style>
  <w:style w:type="paragraph" w:customStyle="1" w:styleId="Cabealho1">
    <w:name w:val="Cabeçalho1"/>
    <w:basedOn w:val="Standard"/>
    <w:rsid w:val="00582121"/>
    <w:pPr>
      <w:tabs>
        <w:tab w:val="center" w:pos="4252"/>
        <w:tab w:val="right" w:pos="8504"/>
      </w:tabs>
      <w:spacing w:after="0" w:line="240" w:lineRule="auto"/>
    </w:pPr>
  </w:style>
  <w:style w:type="paragraph" w:customStyle="1" w:styleId="Rodap1">
    <w:name w:val="Rodapé1"/>
    <w:basedOn w:val="Standard"/>
    <w:rsid w:val="00582121"/>
    <w:pPr>
      <w:tabs>
        <w:tab w:val="center" w:pos="4252"/>
        <w:tab w:val="right" w:pos="8504"/>
      </w:tabs>
      <w:spacing w:after="0" w:line="240" w:lineRule="auto"/>
    </w:pPr>
  </w:style>
  <w:style w:type="paragraph" w:styleId="Textodenotadefim">
    <w:name w:val="endnote text"/>
    <w:basedOn w:val="Standard"/>
    <w:rsid w:val="00582121"/>
    <w:pPr>
      <w:spacing w:after="0" w:line="240" w:lineRule="auto"/>
    </w:pPr>
    <w:rPr>
      <w:sz w:val="20"/>
      <w:szCs w:val="20"/>
    </w:rPr>
  </w:style>
  <w:style w:type="paragraph" w:customStyle="1" w:styleId="Header">
    <w:name w:val="Header"/>
    <w:basedOn w:val="Standard"/>
    <w:rsid w:val="00582121"/>
    <w:pPr>
      <w:tabs>
        <w:tab w:val="center" w:pos="4252"/>
        <w:tab w:val="right" w:pos="8504"/>
      </w:tabs>
      <w:spacing w:after="0" w:line="240" w:lineRule="auto"/>
    </w:pPr>
  </w:style>
  <w:style w:type="paragraph" w:customStyle="1" w:styleId="Footer">
    <w:name w:val="Footer"/>
    <w:basedOn w:val="Standard"/>
    <w:rsid w:val="00582121"/>
    <w:pPr>
      <w:tabs>
        <w:tab w:val="center" w:pos="4252"/>
        <w:tab w:val="right" w:pos="8504"/>
      </w:tabs>
      <w:spacing w:after="0" w:line="240" w:lineRule="auto"/>
    </w:pPr>
  </w:style>
  <w:style w:type="paragraph" w:styleId="Textodecomentrio">
    <w:name w:val="annotation text"/>
    <w:basedOn w:val="Standard"/>
    <w:rsid w:val="00582121"/>
    <w:pPr>
      <w:spacing w:line="240" w:lineRule="auto"/>
    </w:pPr>
    <w:rPr>
      <w:sz w:val="20"/>
      <w:szCs w:val="20"/>
    </w:rPr>
  </w:style>
  <w:style w:type="paragraph" w:styleId="Assuntodocomentrio">
    <w:name w:val="annotation subject"/>
    <w:basedOn w:val="Textodecomentrio"/>
    <w:rsid w:val="00582121"/>
    <w:rPr>
      <w:b/>
      <w:bCs/>
    </w:rPr>
  </w:style>
  <w:style w:type="paragraph" w:styleId="Reviso">
    <w:name w:val="Revision"/>
    <w:rsid w:val="00582121"/>
    <w:pPr>
      <w:widowControl/>
    </w:pPr>
    <w:rPr>
      <w:rFonts w:ascii="Times New Roman" w:eastAsia="Times New Roman" w:hAnsi="Times New Roman"/>
      <w:color w:val="000000"/>
      <w:szCs w:val="24"/>
    </w:rPr>
  </w:style>
  <w:style w:type="paragraph" w:customStyle="1" w:styleId="Standarduser">
    <w:name w:val="Standard (user)"/>
    <w:rsid w:val="00582121"/>
    <w:pPr>
      <w:widowControl/>
    </w:pPr>
    <w:rPr>
      <w:rFonts w:ascii="Times New Roman" w:eastAsia="Times New Roman" w:hAnsi="Times New Roman"/>
    </w:rPr>
  </w:style>
  <w:style w:type="paragraph" w:customStyle="1" w:styleId="Footnote">
    <w:name w:val="Footnote"/>
    <w:basedOn w:val="Standard"/>
    <w:rsid w:val="00582121"/>
  </w:style>
  <w:style w:type="paragraph" w:customStyle="1" w:styleId="Quotations">
    <w:name w:val="Quotations"/>
    <w:basedOn w:val="Standard"/>
    <w:rsid w:val="00582121"/>
  </w:style>
  <w:style w:type="paragraph" w:styleId="Subttulo">
    <w:name w:val="Subtitle"/>
    <w:basedOn w:val="Heading"/>
    <w:rsid w:val="00582121"/>
  </w:style>
  <w:style w:type="paragraph" w:customStyle="1" w:styleId="Heading1">
    <w:name w:val="Heading 1"/>
    <w:basedOn w:val="Heading"/>
    <w:rsid w:val="00582121"/>
  </w:style>
  <w:style w:type="character" w:styleId="Forte">
    <w:name w:val="Strong"/>
    <w:basedOn w:val="Fontepargpadro"/>
    <w:rsid w:val="00582121"/>
    <w:rPr>
      <w:b/>
      <w:bCs/>
    </w:rPr>
  </w:style>
  <w:style w:type="character" w:customStyle="1" w:styleId="TextodenotaderodapChar">
    <w:name w:val="Texto de nota de rodapé Char"/>
    <w:basedOn w:val="Fontepargpadro"/>
    <w:rsid w:val="00582121"/>
    <w:rPr>
      <w:sz w:val="20"/>
      <w:szCs w:val="20"/>
    </w:rPr>
  </w:style>
  <w:style w:type="character" w:styleId="Refdenotaderodap">
    <w:name w:val="footnote reference"/>
    <w:basedOn w:val="Fontepargpadro"/>
    <w:rsid w:val="00582121"/>
    <w:rPr>
      <w:position w:val="0"/>
      <w:vertAlign w:val="superscript"/>
    </w:rPr>
  </w:style>
  <w:style w:type="character" w:customStyle="1" w:styleId="Internetlink">
    <w:name w:val="Internet link"/>
    <w:basedOn w:val="Fontepargpadro"/>
    <w:rsid w:val="00582121"/>
    <w:rPr>
      <w:color w:val="0000FF"/>
      <w:u w:val="single"/>
    </w:rPr>
  </w:style>
  <w:style w:type="character" w:customStyle="1" w:styleId="TextodebaloChar">
    <w:name w:val="Texto de balão Char"/>
    <w:basedOn w:val="Fontepargpadro"/>
    <w:rsid w:val="00582121"/>
    <w:rPr>
      <w:rFonts w:ascii="Tahoma" w:eastAsia="Times New Roman" w:hAnsi="Tahoma" w:cs="Tahoma"/>
      <w:color w:val="000000"/>
      <w:sz w:val="16"/>
      <w:szCs w:val="16"/>
      <w:lang w:eastAsia="pt-BR"/>
    </w:rPr>
  </w:style>
  <w:style w:type="character" w:customStyle="1" w:styleId="Ttulo3Char">
    <w:name w:val="Título 3 Char"/>
    <w:basedOn w:val="Fontepargpadro"/>
    <w:rsid w:val="00582121"/>
    <w:rPr>
      <w:rFonts w:ascii="Times New Roman" w:eastAsia="Times New Roman" w:hAnsi="Times New Roman" w:cs="Times New Roman"/>
      <w:b/>
      <w:bCs/>
      <w:sz w:val="27"/>
      <w:szCs w:val="27"/>
      <w:lang w:eastAsia="pt-BR"/>
    </w:rPr>
  </w:style>
  <w:style w:type="character" w:customStyle="1" w:styleId="TextosemFormataoChar">
    <w:name w:val="Texto sem Formatação Char"/>
    <w:basedOn w:val="Fontepargpadro"/>
    <w:rsid w:val="00582121"/>
    <w:rPr>
      <w:rFonts w:ascii="Courier New" w:eastAsia="Times New Roman" w:hAnsi="Courier New" w:cs="Times New Roman"/>
      <w:sz w:val="20"/>
      <w:szCs w:val="24"/>
      <w:lang w:val="hr-HR" w:eastAsia="de-DE"/>
    </w:rPr>
  </w:style>
  <w:style w:type="character" w:styleId="nfase">
    <w:name w:val="Emphasis"/>
    <w:rsid w:val="00582121"/>
    <w:rPr>
      <w:i/>
      <w:iCs/>
    </w:rPr>
  </w:style>
  <w:style w:type="character" w:customStyle="1" w:styleId="apple-converted-space">
    <w:name w:val="apple-converted-space"/>
    <w:basedOn w:val="Fontepargpadro"/>
    <w:rsid w:val="00582121"/>
  </w:style>
  <w:style w:type="character" w:customStyle="1" w:styleId="CabealhoChar">
    <w:name w:val="Cabeçalho Char"/>
    <w:basedOn w:val="Fontepargpadro"/>
    <w:rsid w:val="00582121"/>
    <w:rPr>
      <w:rFonts w:ascii="Times New Roman" w:eastAsia="Times New Roman" w:hAnsi="Times New Roman" w:cs="Times New Roman"/>
      <w:color w:val="000000"/>
      <w:sz w:val="24"/>
      <w:szCs w:val="24"/>
      <w:lang w:eastAsia="pt-BR"/>
    </w:rPr>
  </w:style>
  <w:style w:type="character" w:customStyle="1" w:styleId="RodapChar">
    <w:name w:val="Rodapé Char"/>
    <w:basedOn w:val="Fontepargpadro"/>
    <w:rsid w:val="00582121"/>
    <w:rPr>
      <w:rFonts w:ascii="Times New Roman" w:eastAsia="Times New Roman" w:hAnsi="Times New Roman" w:cs="Times New Roman"/>
      <w:color w:val="000000"/>
      <w:sz w:val="24"/>
      <w:szCs w:val="24"/>
      <w:lang w:eastAsia="pt-BR"/>
    </w:rPr>
  </w:style>
  <w:style w:type="character" w:customStyle="1" w:styleId="TextodenotadefimChar">
    <w:name w:val="Texto de nota de fim Char"/>
    <w:basedOn w:val="Fontepargpadro"/>
    <w:rsid w:val="00582121"/>
    <w:rPr>
      <w:rFonts w:ascii="Times New Roman" w:eastAsia="Times New Roman" w:hAnsi="Times New Roman" w:cs="Times New Roman"/>
      <w:color w:val="000000"/>
      <w:sz w:val="20"/>
      <w:szCs w:val="20"/>
      <w:lang w:eastAsia="pt-BR"/>
    </w:rPr>
  </w:style>
  <w:style w:type="character" w:styleId="Refdenotadefim">
    <w:name w:val="endnote reference"/>
    <w:basedOn w:val="Fontepargpadro"/>
    <w:rsid w:val="00582121"/>
    <w:rPr>
      <w:position w:val="0"/>
      <w:vertAlign w:val="superscript"/>
    </w:rPr>
  </w:style>
  <w:style w:type="character" w:customStyle="1" w:styleId="ListLabel1">
    <w:name w:val="ListLabel 1"/>
    <w:rsid w:val="00582121"/>
    <w:rPr>
      <w:sz w:val="20"/>
    </w:rPr>
  </w:style>
  <w:style w:type="character" w:customStyle="1" w:styleId="ListLabel2">
    <w:name w:val="ListLabel 2"/>
    <w:rsid w:val="00582121"/>
    <w:rPr>
      <w:sz w:val="20"/>
    </w:rPr>
  </w:style>
  <w:style w:type="character" w:customStyle="1" w:styleId="ListLabel3">
    <w:name w:val="ListLabel 3"/>
    <w:rsid w:val="00582121"/>
    <w:rPr>
      <w:sz w:val="20"/>
    </w:rPr>
  </w:style>
  <w:style w:type="character" w:customStyle="1" w:styleId="ListLabel4">
    <w:name w:val="ListLabel 4"/>
    <w:rsid w:val="00582121"/>
    <w:rPr>
      <w:sz w:val="20"/>
    </w:rPr>
  </w:style>
  <w:style w:type="character" w:customStyle="1" w:styleId="ListLabel5">
    <w:name w:val="ListLabel 5"/>
    <w:rsid w:val="00582121"/>
    <w:rPr>
      <w:sz w:val="20"/>
    </w:rPr>
  </w:style>
  <w:style w:type="character" w:customStyle="1" w:styleId="ListLabel6">
    <w:name w:val="ListLabel 6"/>
    <w:rsid w:val="00582121"/>
    <w:rPr>
      <w:sz w:val="20"/>
    </w:rPr>
  </w:style>
  <w:style w:type="character" w:customStyle="1" w:styleId="ListLabel7">
    <w:name w:val="ListLabel 7"/>
    <w:rsid w:val="00582121"/>
    <w:rPr>
      <w:sz w:val="20"/>
    </w:rPr>
  </w:style>
  <w:style w:type="character" w:customStyle="1" w:styleId="ListLabel8">
    <w:name w:val="ListLabel 8"/>
    <w:rsid w:val="00582121"/>
    <w:rPr>
      <w:sz w:val="20"/>
    </w:rPr>
  </w:style>
  <w:style w:type="character" w:customStyle="1" w:styleId="ListLabel9">
    <w:name w:val="ListLabel 9"/>
    <w:rsid w:val="00582121"/>
    <w:rPr>
      <w:sz w:val="20"/>
    </w:rPr>
  </w:style>
  <w:style w:type="character" w:customStyle="1" w:styleId="ListLabel10">
    <w:name w:val="ListLabel 10"/>
    <w:rsid w:val="00582121"/>
    <w:rPr>
      <w:sz w:val="20"/>
    </w:rPr>
  </w:style>
  <w:style w:type="character" w:customStyle="1" w:styleId="ListLabel11">
    <w:name w:val="ListLabel 11"/>
    <w:rsid w:val="00582121"/>
    <w:rPr>
      <w:sz w:val="20"/>
    </w:rPr>
  </w:style>
  <w:style w:type="character" w:customStyle="1" w:styleId="ListLabel12">
    <w:name w:val="ListLabel 12"/>
    <w:rsid w:val="00582121"/>
    <w:rPr>
      <w:sz w:val="20"/>
    </w:rPr>
  </w:style>
  <w:style w:type="character" w:customStyle="1" w:styleId="ListLabel13">
    <w:name w:val="ListLabel 13"/>
    <w:rsid w:val="00582121"/>
    <w:rPr>
      <w:sz w:val="20"/>
    </w:rPr>
  </w:style>
  <w:style w:type="character" w:customStyle="1" w:styleId="ListLabel14">
    <w:name w:val="ListLabel 14"/>
    <w:rsid w:val="00582121"/>
    <w:rPr>
      <w:sz w:val="20"/>
    </w:rPr>
  </w:style>
  <w:style w:type="character" w:customStyle="1" w:styleId="ListLabel15">
    <w:name w:val="ListLabel 15"/>
    <w:rsid w:val="00582121"/>
    <w:rPr>
      <w:sz w:val="20"/>
    </w:rPr>
  </w:style>
  <w:style w:type="character" w:customStyle="1" w:styleId="ListLabel16">
    <w:name w:val="ListLabel 16"/>
    <w:rsid w:val="00582121"/>
    <w:rPr>
      <w:sz w:val="20"/>
    </w:rPr>
  </w:style>
  <w:style w:type="character" w:customStyle="1" w:styleId="ListLabel17">
    <w:name w:val="ListLabel 17"/>
    <w:rsid w:val="00582121"/>
    <w:rPr>
      <w:sz w:val="20"/>
    </w:rPr>
  </w:style>
  <w:style w:type="character" w:customStyle="1" w:styleId="ListLabel18">
    <w:name w:val="ListLabel 18"/>
    <w:rsid w:val="00582121"/>
    <w:rPr>
      <w:sz w:val="20"/>
    </w:rPr>
  </w:style>
  <w:style w:type="character" w:customStyle="1" w:styleId="FootnoteSymbol">
    <w:name w:val="Footnote Symbol"/>
    <w:rsid w:val="00582121"/>
  </w:style>
  <w:style w:type="character" w:customStyle="1" w:styleId="Footnoteanchor">
    <w:name w:val="Footnote anchor"/>
    <w:rsid w:val="00582121"/>
    <w:rPr>
      <w:position w:val="0"/>
      <w:vertAlign w:val="superscript"/>
    </w:rPr>
  </w:style>
  <w:style w:type="character" w:customStyle="1" w:styleId="Endnoteanchor">
    <w:name w:val="Endnote anchor"/>
    <w:rsid w:val="00582121"/>
    <w:rPr>
      <w:position w:val="0"/>
      <w:vertAlign w:val="superscript"/>
    </w:rPr>
  </w:style>
  <w:style w:type="character" w:customStyle="1" w:styleId="EndnoteSymbol">
    <w:name w:val="Endnote Symbol"/>
    <w:rsid w:val="00582121"/>
  </w:style>
  <w:style w:type="character" w:customStyle="1" w:styleId="CabealhoChar1">
    <w:name w:val="Cabeçalho Char1"/>
    <w:basedOn w:val="Fontepargpadro"/>
    <w:rsid w:val="00582121"/>
    <w:rPr>
      <w:rFonts w:ascii="Times New Roman" w:eastAsia="Times New Roman" w:hAnsi="Times New Roman" w:cs="Times New Roman"/>
      <w:color w:val="000000"/>
      <w:sz w:val="24"/>
      <w:szCs w:val="24"/>
      <w:lang w:eastAsia="pt-BR"/>
    </w:rPr>
  </w:style>
  <w:style w:type="character" w:customStyle="1" w:styleId="RodapChar1">
    <w:name w:val="Rodapé Char1"/>
    <w:basedOn w:val="Fontepargpadro"/>
    <w:rsid w:val="00582121"/>
    <w:rPr>
      <w:rFonts w:ascii="Times New Roman" w:eastAsia="Times New Roman" w:hAnsi="Times New Roman" w:cs="Times New Roman"/>
      <w:color w:val="000000"/>
      <w:sz w:val="24"/>
      <w:szCs w:val="24"/>
      <w:lang w:eastAsia="pt-BR"/>
    </w:rPr>
  </w:style>
  <w:style w:type="character" w:customStyle="1" w:styleId="Ttulo2Char">
    <w:name w:val="Título 2 Char"/>
    <w:basedOn w:val="Fontepargpadro"/>
    <w:rsid w:val="00582121"/>
    <w:rPr>
      <w:rFonts w:ascii="Cambria" w:eastAsia="F" w:hAnsi="Cambria" w:cs="F"/>
      <w:b/>
      <w:bCs/>
      <w:color w:val="4F81BD"/>
      <w:sz w:val="26"/>
      <w:szCs w:val="26"/>
      <w:lang w:eastAsia="en-US"/>
    </w:rPr>
  </w:style>
  <w:style w:type="character" w:customStyle="1" w:styleId="Ttulo3Char1">
    <w:name w:val="Título 3 Char1"/>
    <w:basedOn w:val="Fontepargpadro"/>
    <w:rsid w:val="00582121"/>
    <w:rPr>
      <w:rFonts w:ascii="Cambria" w:eastAsia="F" w:hAnsi="Cambria" w:cs="F"/>
      <w:b/>
      <w:bCs/>
      <w:color w:val="000000"/>
      <w:sz w:val="26"/>
      <w:szCs w:val="26"/>
    </w:rPr>
  </w:style>
  <w:style w:type="character" w:styleId="Refdecomentrio">
    <w:name w:val="annotation reference"/>
    <w:basedOn w:val="Fontepargpadro"/>
    <w:rsid w:val="00582121"/>
    <w:rPr>
      <w:sz w:val="16"/>
      <w:szCs w:val="16"/>
    </w:rPr>
  </w:style>
  <w:style w:type="character" w:customStyle="1" w:styleId="TextodecomentrioChar">
    <w:name w:val="Texto de comentário Char"/>
    <w:basedOn w:val="Fontepargpadro"/>
    <w:rsid w:val="00582121"/>
    <w:rPr>
      <w:rFonts w:ascii="Times New Roman" w:eastAsia="Times New Roman" w:hAnsi="Times New Roman"/>
      <w:color w:val="000000"/>
    </w:rPr>
  </w:style>
  <w:style w:type="character" w:customStyle="1" w:styleId="AssuntodocomentrioChar">
    <w:name w:val="Assunto do comentário Char"/>
    <w:basedOn w:val="TextodecomentrioChar"/>
    <w:rsid w:val="00582121"/>
    <w:rPr>
      <w:rFonts w:ascii="Times New Roman" w:eastAsia="Times New Roman" w:hAnsi="Times New Roman"/>
      <w:b/>
      <w:bCs/>
      <w:color w:val="000000"/>
    </w:rPr>
  </w:style>
  <w:style w:type="character" w:styleId="TextodoEspaoReservado">
    <w:name w:val="Placeholder Text"/>
    <w:basedOn w:val="Fontepargpadro"/>
    <w:rsid w:val="00582121"/>
    <w:rPr>
      <w:color w:val="808080"/>
    </w:rPr>
  </w:style>
  <w:style w:type="character" w:styleId="HiperlinkVisitado">
    <w:name w:val="FollowedHyperlink"/>
    <w:basedOn w:val="Fontepargpadro"/>
    <w:rsid w:val="00582121"/>
    <w:rPr>
      <w:color w:val="800080"/>
      <w:u w:val="single"/>
    </w:rPr>
  </w:style>
  <w:style w:type="numbering" w:customStyle="1" w:styleId="Semlista1">
    <w:name w:val="Sem lista1"/>
    <w:basedOn w:val="Semlista"/>
    <w:rsid w:val="00582121"/>
    <w:pPr>
      <w:numPr>
        <w:numId w:val="1"/>
      </w:numPr>
    </w:pPr>
  </w:style>
  <w:style w:type="paragraph" w:styleId="Cabealho">
    <w:name w:val="header"/>
    <w:basedOn w:val="Normal"/>
    <w:link w:val="CabealhoChar2"/>
    <w:uiPriority w:val="99"/>
    <w:semiHidden/>
    <w:unhideWhenUsed/>
    <w:rsid w:val="00582121"/>
    <w:pPr>
      <w:tabs>
        <w:tab w:val="center" w:pos="4252"/>
        <w:tab w:val="right" w:pos="8504"/>
      </w:tabs>
    </w:pPr>
  </w:style>
  <w:style w:type="character" w:customStyle="1" w:styleId="CabealhoChar2">
    <w:name w:val="Cabeçalho Char2"/>
    <w:basedOn w:val="Fontepargpadro"/>
    <w:link w:val="Cabealho"/>
    <w:uiPriority w:val="99"/>
    <w:semiHidden/>
    <w:rsid w:val="0058212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2551</TotalTime>
  <Pages>9</Pages>
  <Words>2807</Words>
  <Characters>15159</Characters>
  <Application>Microsoft Office Word</Application>
  <DocSecurity>0</DocSecurity>
  <Lines>126</Lines>
  <Paragraphs>35</Paragraphs>
  <ScaleCrop>false</ScaleCrop>
  <Company/>
  <LinksUpToDate>false</LinksUpToDate>
  <CharactersWithSpaces>17931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Jordane</dc:creator>
  <cp:lastModifiedBy>Fernanda Lima</cp:lastModifiedBy>
  <cp:revision>17</cp:revision>
  <dcterms:created xsi:type="dcterms:W3CDTF">2017-09-14T23:20:00Z</dcterms:created>
  <dcterms:modified xsi:type="dcterms:W3CDTF">2017-10-01T03:26:00Z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