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AF" w:rsidRPr="009C4574" w:rsidRDefault="00FE2032" w:rsidP="00F063AC">
      <w:pPr>
        <w:spacing w:line="360" w:lineRule="auto"/>
        <w:jc w:val="both"/>
        <w:rPr>
          <w:lang w:val="en-US"/>
        </w:rPr>
      </w:pPr>
      <w:proofErr w:type="spellStart"/>
      <w:r w:rsidRPr="009C4574">
        <w:rPr>
          <w:rStyle w:val="Forte"/>
          <w:rFonts w:ascii="Tahoma" w:hAnsi="Tahoma" w:cs="Tahoma"/>
          <w:sz w:val="20"/>
          <w:szCs w:val="20"/>
          <w:lang w:val="en-US"/>
        </w:rPr>
        <w:t>Título</w:t>
      </w:r>
      <w:proofErr w:type="spellEnd"/>
      <w:r w:rsidRPr="009C4574">
        <w:rPr>
          <w:rStyle w:val="Forte"/>
          <w:rFonts w:ascii="Tahoma" w:hAnsi="Tahoma" w:cs="Tahoma"/>
          <w:sz w:val="20"/>
          <w:szCs w:val="20"/>
          <w:lang w:val="en-US"/>
        </w:rPr>
        <w:t>:</w:t>
      </w:r>
      <w:r w:rsidR="001F6C36" w:rsidRPr="009C4574">
        <w:rPr>
          <w:rStyle w:val="Forte"/>
          <w:rFonts w:ascii="Tahoma" w:hAnsi="Tahoma" w:cs="Tahoma"/>
          <w:sz w:val="20"/>
          <w:szCs w:val="20"/>
          <w:lang w:val="en-US"/>
        </w:rPr>
        <w:t xml:space="preserve"> </w:t>
      </w:r>
      <w:r w:rsidR="009C4574" w:rsidRPr="009C4574">
        <w:rPr>
          <w:rStyle w:val="Forte"/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Changing Paradigm for </w:t>
      </w:r>
      <w:proofErr w:type="spellStart"/>
      <w:r w:rsidR="009C4574" w:rsidRPr="009C4574">
        <w:rPr>
          <w:rStyle w:val="Forte"/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Organoselenium</w:t>
      </w:r>
      <w:proofErr w:type="spellEnd"/>
      <w:r w:rsidR="009C4574" w:rsidRPr="009C4574">
        <w:rPr>
          <w:rStyle w:val="Forte"/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Compounds in Medicinal Chemistry</w:t>
      </w:r>
      <w:r w:rsidR="00F063AC" w:rsidRPr="009C4574">
        <w:rPr>
          <w:rFonts w:ascii="Tahoma" w:hAnsi="Tahoma" w:cs="Tahoma"/>
          <w:b/>
          <w:sz w:val="20"/>
          <w:szCs w:val="20"/>
          <w:lang w:val="en-US"/>
        </w:rPr>
        <w:t>.</w:t>
      </w:r>
    </w:p>
    <w:p w:rsidR="00F5437C" w:rsidRDefault="00FE2032" w:rsidP="00F5437C">
      <w:pPr>
        <w:pStyle w:val="Ttulo2"/>
        <w:shd w:val="clear" w:color="auto" w:fill="FFFFFF"/>
        <w:spacing w:before="0" w:beforeAutospacing="0" w:after="180" w:afterAutospacing="0"/>
        <w:textAlignment w:val="baseline"/>
        <w:rPr>
          <w:rFonts w:ascii="Tahoma" w:hAnsi="Tahoma" w:cs="Tahoma"/>
          <w:sz w:val="20"/>
          <w:szCs w:val="20"/>
        </w:rPr>
      </w:pPr>
      <w:r w:rsidRPr="00BD056E">
        <w:rPr>
          <w:rStyle w:val="Forte"/>
          <w:rFonts w:ascii="Tahoma" w:hAnsi="Tahoma" w:cs="Tahoma"/>
          <w:b/>
          <w:sz w:val="20"/>
          <w:szCs w:val="20"/>
        </w:rPr>
        <w:t>Ministrante:</w:t>
      </w:r>
      <w:r w:rsidR="001F6C36" w:rsidRPr="00736FDE">
        <w:rPr>
          <w:rStyle w:val="Forte"/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 w:rsidR="00BD056E" w:rsidRPr="00BD056E">
        <w:rPr>
          <w:rFonts w:ascii="Tahoma" w:hAnsi="Tahoma" w:cs="Tahoma"/>
          <w:b w:val="0"/>
          <w:color w:val="000000"/>
          <w:sz w:val="20"/>
          <w:szCs w:val="20"/>
        </w:rPr>
        <w:t xml:space="preserve">Prof. Dr. </w:t>
      </w:r>
      <w:r w:rsidR="009C4574">
        <w:rPr>
          <w:rFonts w:ascii="Tahoma" w:hAnsi="Tahoma" w:cs="Tahoma"/>
          <w:b w:val="0"/>
          <w:color w:val="000000"/>
          <w:sz w:val="20"/>
          <w:szCs w:val="20"/>
        </w:rPr>
        <w:t>Claudio Sant</w:t>
      </w:r>
      <w:r w:rsidR="004460D5">
        <w:rPr>
          <w:rFonts w:ascii="Tahoma" w:hAnsi="Tahoma" w:cs="Tahoma"/>
          <w:b w:val="0"/>
          <w:color w:val="000000"/>
          <w:sz w:val="20"/>
          <w:szCs w:val="20"/>
        </w:rPr>
        <w:t>i</w:t>
      </w:r>
      <w:r w:rsidR="00BD056E">
        <w:rPr>
          <w:color w:val="000000"/>
          <w:sz w:val="27"/>
          <w:szCs w:val="27"/>
        </w:rPr>
        <w:t xml:space="preserve"> </w:t>
      </w:r>
      <w:r w:rsidR="00F5437C">
        <w:rPr>
          <w:rFonts w:ascii="Tahoma" w:hAnsi="Tahoma" w:cs="Tahoma"/>
          <w:b w:val="0"/>
          <w:sz w:val="20"/>
          <w:szCs w:val="20"/>
        </w:rPr>
        <w:t xml:space="preserve">– </w:t>
      </w:r>
      <w:r w:rsidR="009C4574">
        <w:rPr>
          <w:rFonts w:ascii="Tahoma" w:hAnsi="Tahoma" w:cs="Tahoma"/>
          <w:b w:val="0"/>
          <w:sz w:val="20"/>
          <w:szCs w:val="20"/>
        </w:rPr>
        <w:t xml:space="preserve">Universidade de  </w:t>
      </w:r>
      <w:proofErr w:type="spellStart"/>
      <w:r w:rsidR="009C4574">
        <w:rPr>
          <w:rFonts w:ascii="Tahoma" w:hAnsi="Tahoma" w:cs="Tahoma"/>
          <w:b w:val="0"/>
          <w:sz w:val="20"/>
          <w:szCs w:val="20"/>
        </w:rPr>
        <w:t>Perugia</w:t>
      </w:r>
      <w:proofErr w:type="spellEnd"/>
      <w:r w:rsidR="009C4574">
        <w:rPr>
          <w:rFonts w:ascii="Tahoma" w:hAnsi="Tahoma" w:cs="Tahoma"/>
          <w:b w:val="0"/>
          <w:sz w:val="20"/>
          <w:szCs w:val="20"/>
        </w:rPr>
        <w:t xml:space="preserve"> – Itália </w:t>
      </w:r>
    </w:p>
    <w:p w:rsidR="00FE2032" w:rsidRPr="00F5437C" w:rsidRDefault="00FE2032" w:rsidP="00F5437C">
      <w:pPr>
        <w:pStyle w:val="Ttulo2"/>
        <w:shd w:val="clear" w:color="auto" w:fill="FFFFFF"/>
        <w:spacing w:before="0" w:beforeAutospacing="0" w:after="180" w:afterAutospacing="0"/>
        <w:textAlignment w:val="baseline"/>
        <w:rPr>
          <w:rFonts w:ascii="Tahoma" w:hAnsi="Tahoma" w:cs="Tahoma"/>
          <w:sz w:val="29"/>
          <w:szCs w:val="29"/>
        </w:rPr>
      </w:pPr>
      <w:r w:rsidRPr="00F5437C">
        <w:rPr>
          <w:rStyle w:val="Forte"/>
          <w:rFonts w:ascii="Tahoma" w:hAnsi="Tahoma" w:cs="Tahoma"/>
          <w:b/>
          <w:sz w:val="20"/>
          <w:szCs w:val="20"/>
        </w:rPr>
        <w:t>Data:</w:t>
      </w:r>
      <w:r w:rsidRPr="00736FDE">
        <w:rPr>
          <w:rStyle w:val="Forte"/>
          <w:rFonts w:ascii="Tahoma" w:hAnsi="Tahoma" w:cs="Tahoma"/>
          <w:sz w:val="20"/>
          <w:szCs w:val="20"/>
        </w:rPr>
        <w:t xml:space="preserve"> </w:t>
      </w:r>
      <w:r w:rsidR="009C4574">
        <w:rPr>
          <w:rFonts w:ascii="Tahoma" w:hAnsi="Tahoma" w:cs="Tahoma"/>
          <w:b w:val="0"/>
          <w:sz w:val="20"/>
          <w:szCs w:val="20"/>
        </w:rPr>
        <w:t>29/08</w:t>
      </w:r>
      <w:r w:rsidR="00C01FB3" w:rsidRPr="00F5437C">
        <w:rPr>
          <w:rFonts w:ascii="Tahoma" w:hAnsi="Tahoma" w:cs="Tahoma"/>
          <w:b w:val="0"/>
          <w:sz w:val="20"/>
          <w:szCs w:val="20"/>
        </w:rPr>
        <w:t>/2018</w:t>
      </w:r>
      <w:r w:rsidR="0051065A" w:rsidRPr="00F5437C">
        <w:rPr>
          <w:rFonts w:ascii="Tahoma" w:hAnsi="Tahoma" w:cs="Tahoma"/>
          <w:b w:val="0"/>
          <w:sz w:val="20"/>
          <w:szCs w:val="20"/>
        </w:rPr>
        <w:t xml:space="preserve">, </w:t>
      </w:r>
      <w:r w:rsidR="00D351C7" w:rsidRPr="00F5437C">
        <w:rPr>
          <w:rFonts w:ascii="Tahoma" w:hAnsi="Tahoma" w:cs="Tahoma"/>
          <w:b w:val="0"/>
          <w:sz w:val="20"/>
          <w:szCs w:val="20"/>
        </w:rPr>
        <w:t>quarta</w:t>
      </w:r>
      <w:r w:rsidRPr="00F5437C">
        <w:rPr>
          <w:rFonts w:ascii="Tahoma" w:hAnsi="Tahoma" w:cs="Tahoma"/>
          <w:b w:val="0"/>
          <w:sz w:val="20"/>
          <w:szCs w:val="20"/>
        </w:rPr>
        <w:t xml:space="preserve">-feira, </w:t>
      </w:r>
      <w:r w:rsidR="009C4574">
        <w:rPr>
          <w:rFonts w:ascii="Tahoma" w:hAnsi="Tahoma" w:cs="Tahoma"/>
          <w:b w:val="0"/>
          <w:sz w:val="20"/>
          <w:szCs w:val="20"/>
        </w:rPr>
        <w:t>09</w:t>
      </w:r>
      <w:r w:rsidRPr="00F5437C">
        <w:rPr>
          <w:rFonts w:ascii="Tahoma" w:hAnsi="Tahoma" w:cs="Tahoma"/>
          <w:b w:val="0"/>
          <w:sz w:val="20"/>
          <w:szCs w:val="20"/>
        </w:rPr>
        <w:t>h</w:t>
      </w:r>
      <w:r w:rsidR="009C4574">
        <w:rPr>
          <w:rFonts w:ascii="Tahoma" w:hAnsi="Tahoma" w:cs="Tahoma"/>
          <w:b w:val="0"/>
          <w:sz w:val="20"/>
          <w:szCs w:val="20"/>
        </w:rPr>
        <w:t>0</w:t>
      </w:r>
      <w:r w:rsidRPr="00F5437C">
        <w:rPr>
          <w:rFonts w:ascii="Tahoma" w:hAnsi="Tahoma" w:cs="Tahoma"/>
          <w:b w:val="0"/>
          <w:sz w:val="20"/>
          <w:szCs w:val="20"/>
        </w:rPr>
        <w:t>0</w:t>
      </w:r>
    </w:p>
    <w:p w:rsidR="00FE2032" w:rsidRDefault="00FE2032" w:rsidP="0051090D">
      <w:pPr>
        <w:shd w:val="clear" w:color="auto" w:fill="FFFFFF"/>
        <w:spacing w:line="360" w:lineRule="auto"/>
        <w:rPr>
          <w:rStyle w:val="Forte"/>
          <w:rFonts w:ascii="Tahoma" w:hAnsi="Tahoma" w:cs="Tahoma"/>
          <w:sz w:val="20"/>
          <w:szCs w:val="20"/>
        </w:rPr>
      </w:pPr>
      <w:r w:rsidRPr="00D351C7">
        <w:rPr>
          <w:rStyle w:val="Forte"/>
          <w:rFonts w:ascii="Tahoma" w:hAnsi="Tahoma" w:cs="Tahoma"/>
          <w:sz w:val="20"/>
          <w:szCs w:val="20"/>
        </w:rPr>
        <w:t xml:space="preserve">Local: </w:t>
      </w:r>
      <w:r w:rsidR="00D351C7" w:rsidRPr="00D351C7">
        <w:rPr>
          <w:rFonts w:ascii="Tahoma" w:hAnsi="Tahoma" w:cs="Tahoma"/>
          <w:sz w:val="20"/>
          <w:szCs w:val="20"/>
        </w:rPr>
        <w:t>Mini</w:t>
      </w:r>
      <w:r w:rsidR="009C4574">
        <w:rPr>
          <w:rFonts w:ascii="Tahoma" w:hAnsi="Tahoma" w:cs="Tahoma"/>
          <w:sz w:val="20"/>
          <w:szCs w:val="20"/>
        </w:rPr>
        <w:t>-</w:t>
      </w:r>
      <w:r w:rsidR="00D351C7" w:rsidRPr="00D351C7">
        <w:rPr>
          <w:rFonts w:ascii="Tahoma" w:hAnsi="Tahoma" w:cs="Tahoma"/>
          <w:sz w:val="20"/>
          <w:szCs w:val="20"/>
        </w:rPr>
        <w:t>A</w:t>
      </w:r>
      <w:r w:rsidR="002145DE">
        <w:rPr>
          <w:rFonts w:ascii="Tahoma" w:hAnsi="Tahoma" w:cs="Tahoma"/>
          <w:sz w:val="20"/>
          <w:szCs w:val="20"/>
        </w:rPr>
        <w:t>uditório do</w:t>
      </w:r>
      <w:r w:rsidR="00087844" w:rsidRPr="00D351C7">
        <w:rPr>
          <w:rFonts w:ascii="Tahoma" w:hAnsi="Tahoma" w:cs="Tahoma"/>
          <w:sz w:val="20"/>
          <w:szCs w:val="20"/>
        </w:rPr>
        <w:t xml:space="preserve"> </w:t>
      </w:r>
      <w:r w:rsidR="00077174" w:rsidRPr="00D351C7">
        <w:rPr>
          <w:rFonts w:ascii="Tahoma" w:hAnsi="Tahoma" w:cs="Tahoma"/>
          <w:sz w:val="20"/>
          <w:szCs w:val="20"/>
        </w:rPr>
        <w:t>CCQFA</w:t>
      </w:r>
      <w:r w:rsidRPr="00D351C7">
        <w:rPr>
          <w:rStyle w:val="Forte"/>
          <w:rFonts w:ascii="Tahoma" w:hAnsi="Tahoma" w:cs="Tahoma"/>
          <w:sz w:val="20"/>
          <w:szCs w:val="20"/>
        </w:rPr>
        <w:t> </w:t>
      </w:r>
    </w:p>
    <w:p w:rsidR="00F063AC" w:rsidRPr="00D351C7" w:rsidRDefault="00F063AC" w:rsidP="0051090D">
      <w:pPr>
        <w:shd w:val="clear" w:color="auto" w:fill="FFFFFF"/>
        <w:spacing w:line="360" w:lineRule="auto"/>
        <w:rPr>
          <w:rFonts w:ascii="Tahoma" w:hAnsi="Tahoma" w:cs="Tahoma"/>
          <w:sz w:val="20"/>
          <w:szCs w:val="20"/>
        </w:rPr>
      </w:pPr>
    </w:p>
    <w:p w:rsidR="00F063AC" w:rsidRDefault="00FE2032" w:rsidP="00C01FB3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</w:pPr>
      <w:proofErr w:type="spellStart"/>
      <w:r w:rsidRPr="009C4574">
        <w:rPr>
          <w:rStyle w:val="Forte"/>
          <w:rFonts w:ascii="Tahoma" w:hAnsi="Tahoma" w:cs="Tahoma"/>
          <w:sz w:val="20"/>
          <w:szCs w:val="20"/>
          <w:lang w:val="en-US"/>
        </w:rPr>
        <w:t>Resumo</w:t>
      </w:r>
      <w:proofErr w:type="spellEnd"/>
      <w:r w:rsidRPr="009C4574">
        <w:rPr>
          <w:rStyle w:val="Forte"/>
          <w:rFonts w:ascii="Tahoma" w:hAnsi="Tahoma" w:cs="Tahoma"/>
          <w:sz w:val="20"/>
          <w:szCs w:val="20"/>
          <w:lang w:val="en-US"/>
        </w:rPr>
        <w:t>:</w:t>
      </w:r>
      <w:r w:rsidR="001F6C36" w:rsidRPr="009C4574">
        <w:rPr>
          <w:rStyle w:val="Forte"/>
          <w:rFonts w:ascii="Tahoma" w:hAnsi="Tahoma" w:cs="Tahoma"/>
          <w:sz w:val="20"/>
          <w:szCs w:val="20"/>
          <w:lang w:val="en-US"/>
        </w:rPr>
        <w:t xml:space="preserve"> </w:t>
      </w:r>
      <w:r w:rsidR="009C4574" w:rsidRPr="009C4574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The biological activity of </w:t>
      </w:r>
      <w:proofErr w:type="spellStart"/>
      <w:r w:rsidR="009C4574" w:rsidRPr="009C4574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organoselenium</w:t>
      </w:r>
      <w:proofErr w:type="spellEnd"/>
      <w:r w:rsidR="009C4574" w:rsidRPr="009C4574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compounds is an attractive topic of research after a long period in which the perception about selenium toxicity strongly limited this of investigations. With the only exception of </w:t>
      </w:r>
      <w:proofErr w:type="spellStart"/>
      <w:r w:rsidR="009C4574" w:rsidRPr="009C4574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ebselen</w:t>
      </w:r>
      <w:proofErr w:type="spellEnd"/>
      <w:r w:rsidR="009C4574" w:rsidRPr="009C4574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, that is the most pharmacologically studied selenium containing compound, several other classes of derivatives were studied in the past almost exclusively as antioxidant and glutathione </w:t>
      </w:r>
      <w:proofErr w:type="spellStart"/>
      <w:r w:rsidR="009C4574" w:rsidRPr="009C4574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peroxidase</w:t>
      </w:r>
      <w:proofErr w:type="spellEnd"/>
      <w:r w:rsidR="009C4574" w:rsidRPr="009C4574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(</w:t>
      </w:r>
      <w:proofErr w:type="spellStart"/>
      <w:r w:rsidR="009C4574" w:rsidRPr="009C4574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GPx</w:t>
      </w:r>
      <w:proofErr w:type="spellEnd"/>
      <w:r w:rsidR="009C4574" w:rsidRPr="009C4574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)-mimicking agents. In this context we gave our contribution with the development of a number of selenium derivatives that have been tested, looking beyond the classical concept of antioxidant agents, for their ability to act as </w:t>
      </w:r>
      <w:proofErr w:type="spellStart"/>
      <w:r w:rsidR="009C4574" w:rsidRPr="009C4574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antiretrovirals</w:t>
      </w:r>
      <w:proofErr w:type="spellEnd"/>
      <w:r w:rsidR="009C4574" w:rsidRPr="009C4574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targeting the key HIV protein NCp7 (1), as inhibitors of </w:t>
      </w:r>
      <w:proofErr w:type="spellStart"/>
      <w:r w:rsidR="009C4574" w:rsidRPr="009C4574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biofilm</w:t>
      </w:r>
      <w:proofErr w:type="spellEnd"/>
      <w:r w:rsidR="009C4574" w:rsidRPr="009C4574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formation (2) as </w:t>
      </w:r>
      <w:proofErr w:type="spellStart"/>
      <w:r w:rsidR="009C4574" w:rsidRPr="009C4574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hormetic</w:t>
      </w:r>
      <w:proofErr w:type="spellEnd"/>
      <w:r w:rsidR="009C4574" w:rsidRPr="009C4574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agents activated by mild stressors (3) or as selective enzymatic inhibitors (4). In addition, we developed a simple and versatile procedure for a quick conversion of </w:t>
      </w:r>
      <w:proofErr w:type="spellStart"/>
      <w:r w:rsidR="009C4574" w:rsidRPr="009C4574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diselenides</w:t>
      </w:r>
      <w:proofErr w:type="spellEnd"/>
      <w:r w:rsidR="009C4574" w:rsidRPr="009C4574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into </w:t>
      </w:r>
      <w:proofErr w:type="spellStart"/>
      <w:r w:rsidR="009C4574" w:rsidRPr="009C4574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bensoisoselenazolones</w:t>
      </w:r>
      <w:proofErr w:type="spellEnd"/>
      <w:r w:rsidR="009C4574" w:rsidRPr="009C4574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and non- conventional selenium derivatives were prepared and tested as mimetic of </w:t>
      </w:r>
      <w:proofErr w:type="spellStart"/>
      <w:r w:rsidR="009C4574" w:rsidRPr="009C4574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selenoenzymes</w:t>
      </w:r>
      <w:proofErr w:type="spellEnd"/>
      <w:r w:rsidR="009C4574" w:rsidRPr="009C4574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, in particular glutathione </w:t>
      </w:r>
      <w:proofErr w:type="spellStart"/>
      <w:r w:rsidR="009C4574" w:rsidRPr="009C4574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peroxidase</w:t>
      </w:r>
      <w:proofErr w:type="spellEnd"/>
      <w:r w:rsidR="009C4574" w:rsidRPr="009C4574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and </w:t>
      </w:r>
      <w:proofErr w:type="spellStart"/>
      <w:r w:rsidR="009C4574" w:rsidRPr="009C4574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deiodinases</w:t>
      </w:r>
      <w:proofErr w:type="spellEnd"/>
      <w:r w:rsidR="009C4574" w:rsidRPr="009C4574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. Novel results obtained in the elucidation of the development of small molecules </w:t>
      </w:r>
      <w:proofErr w:type="spellStart"/>
      <w:r w:rsidR="009C4574" w:rsidRPr="009C4574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forr</w:t>
      </w:r>
      <w:proofErr w:type="spellEnd"/>
      <w:r w:rsidR="009C4574" w:rsidRPr="009C4574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the </w:t>
      </w:r>
      <w:proofErr w:type="spellStart"/>
      <w:r w:rsidR="009C4574" w:rsidRPr="009C4574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the</w:t>
      </w:r>
      <w:proofErr w:type="spellEnd"/>
      <w:r w:rsidR="009C4574" w:rsidRPr="009C4574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activation of </w:t>
      </w:r>
      <w:proofErr w:type="spellStart"/>
      <w:r w:rsidR="009C4574" w:rsidRPr="009C4574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tyroid</w:t>
      </w:r>
      <w:proofErr w:type="spellEnd"/>
      <w:r w:rsidR="009C4574" w:rsidRPr="009C4574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hormones will be presented. </w:t>
      </w:r>
    </w:p>
    <w:p w:rsidR="009C4574" w:rsidRPr="009C4574" w:rsidRDefault="009C4574" w:rsidP="009C457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  <w:r w:rsidRPr="009C4574">
        <w:rPr>
          <w:rStyle w:val="Forte"/>
          <w:rFonts w:ascii="Tahoma" w:hAnsi="Tahoma" w:cs="Tahoma"/>
          <w:color w:val="000000"/>
          <w:sz w:val="20"/>
          <w:szCs w:val="20"/>
          <w:lang w:val="en-US"/>
        </w:rPr>
        <w:t>REFERENCES: </w:t>
      </w:r>
      <w:r>
        <w:rPr>
          <w:rStyle w:val="Forte"/>
          <w:rFonts w:ascii="Tahoma" w:hAnsi="Tahoma" w:cs="Tahoma"/>
          <w:color w:val="000000"/>
          <w:sz w:val="20"/>
          <w:szCs w:val="20"/>
          <w:lang w:val="en-US"/>
        </w:rPr>
        <w:br/>
      </w:r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>1.    </w:t>
      </w:r>
      <w:proofErr w:type="spellStart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>Sancineto</w:t>
      </w:r>
      <w:proofErr w:type="spellEnd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 xml:space="preserve"> L, </w:t>
      </w:r>
      <w:proofErr w:type="spellStart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>Mariotti</w:t>
      </w:r>
      <w:proofErr w:type="spellEnd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 xml:space="preserve"> A, </w:t>
      </w:r>
      <w:proofErr w:type="spellStart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>Bagnoli</w:t>
      </w:r>
      <w:proofErr w:type="spellEnd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 xml:space="preserve"> L, Marini F, </w:t>
      </w:r>
      <w:proofErr w:type="spellStart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>Desantis</w:t>
      </w:r>
      <w:proofErr w:type="spellEnd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 xml:space="preserve"> J, </w:t>
      </w:r>
      <w:proofErr w:type="spellStart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>Iraci</w:t>
      </w:r>
      <w:proofErr w:type="spellEnd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 xml:space="preserve"> N, </w:t>
      </w:r>
      <w:proofErr w:type="spellStart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>Santi</w:t>
      </w:r>
      <w:proofErr w:type="spellEnd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 xml:space="preserve"> C, </w:t>
      </w:r>
      <w:proofErr w:type="spellStart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>Pannecouque</w:t>
      </w:r>
      <w:proofErr w:type="spellEnd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 xml:space="preserve"> C, </w:t>
      </w:r>
      <w:proofErr w:type="spellStart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>Tabarrini</w:t>
      </w:r>
      <w:proofErr w:type="spellEnd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 xml:space="preserve"> O. Design and Synthesis of </w:t>
      </w:r>
      <w:proofErr w:type="spellStart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>DiselenoBisBenzamides</w:t>
      </w:r>
      <w:proofErr w:type="spellEnd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 xml:space="preserve"> (</w:t>
      </w:r>
      <w:proofErr w:type="spellStart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>DISeBAs</w:t>
      </w:r>
      <w:proofErr w:type="spellEnd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 xml:space="preserve">) as </w:t>
      </w:r>
      <w:proofErr w:type="spellStart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>Nucleocapsid</w:t>
      </w:r>
      <w:proofErr w:type="spellEnd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 xml:space="preserve"> Protein 7 (NCp7) Inhibitors with anti-HIV Activity. Journal of medicinal chemistry 2015; 58(24): 9601-9614.</w:t>
      </w:r>
      <w:r>
        <w:rPr>
          <w:rFonts w:ascii="Tahoma" w:hAnsi="Tahoma" w:cs="Tahoma"/>
          <w:color w:val="000000"/>
          <w:sz w:val="20"/>
          <w:szCs w:val="20"/>
          <w:lang w:val="en-US"/>
        </w:rPr>
        <w:br/>
      </w:r>
      <w:r>
        <w:rPr>
          <w:rFonts w:ascii="Tahoma" w:hAnsi="Tahoma" w:cs="Tahoma"/>
          <w:color w:val="000000"/>
          <w:sz w:val="20"/>
          <w:szCs w:val="20"/>
          <w:lang w:val="en-US"/>
        </w:rPr>
        <w:br/>
      </w:r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>2.    </w:t>
      </w:r>
      <w:proofErr w:type="spellStart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>Sancineto</w:t>
      </w:r>
      <w:proofErr w:type="spellEnd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 xml:space="preserve">, L., </w:t>
      </w:r>
      <w:proofErr w:type="spellStart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>Piccioni</w:t>
      </w:r>
      <w:proofErr w:type="spellEnd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 xml:space="preserve">, M., De Marco, S., </w:t>
      </w:r>
      <w:proofErr w:type="spellStart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>Pagiotti</w:t>
      </w:r>
      <w:proofErr w:type="spellEnd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 xml:space="preserve">, R., </w:t>
      </w:r>
      <w:proofErr w:type="spellStart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>Nascimento</w:t>
      </w:r>
      <w:proofErr w:type="spellEnd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 xml:space="preserve">, V., Braga, A.L., </w:t>
      </w:r>
      <w:proofErr w:type="spellStart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>Santi</w:t>
      </w:r>
      <w:proofErr w:type="spellEnd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 xml:space="preserve">, C., </w:t>
      </w:r>
      <w:proofErr w:type="spellStart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>Pietrella</w:t>
      </w:r>
      <w:proofErr w:type="spellEnd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 xml:space="preserve">, D. </w:t>
      </w:r>
      <w:proofErr w:type="spellStart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>Diphenyl</w:t>
      </w:r>
      <w:proofErr w:type="spellEnd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>diselenide</w:t>
      </w:r>
      <w:proofErr w:type="spellEnd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 xml:space="preserve"> derivatives inhibit microbial </w:t>
      </w:r>
      <w:proofErr w:type="spellStart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>biofilm</w:t>
      </w:r>
      <w:proofErr w:type="spellEnd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 xml:space="preserve"> formation involved in wound infection (2016) BMC Micr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obiology, 16 (1), art. </w:t>
      </w:r>
      <w:proofErr w:type="gramStart"/>
      <w:r>
        <w:rPr>
          <w:rFonts w:ascii="Tahoma" w:hAnsi="Tahoma" w:cs="Tahoma"/>
          <w:color w:val="000000"/>
          <w:sz w:val="20"/>
          <w:szCs w:val="20"/>
          <w:lang w:val="en-US"/>
        </w:rPr>
        <w:t>no</w:t>
      </w:r>
      <w:proofErr w:type="gramEnd"/>
      <w:r>
        <w:rPr>
          <w:rFonts w:ascii="Tahoma" w:hAnsi="Tahoma" w:cs="Tahoma"/>
          <w:color w:val="000000"/>
          <w:sz w:val="20"/>
          <w:szCs w:val="20"/>
          <w:lang w:val="en-US"/>
        </w:rPr>
        <w:t>. 220.</w:t>
      </w:r>
      <w:r>
        <w:rPr>
          <w:rFonts w:ascii="Tahoma" w:hAnsi="Tahoma" w:cs="Tahoma"/>
          <w:color w:val="000000"/>
          <w:sz w:val="20"/>
          <w:szCs w:val="20"/>
          <w:lang w:val="en-US"/>
        </w:rPr>
        <w:br/>
      </w:r>
      <w:r>
        <w:rPr>
          <w:rFonts w:ascii="Tahoma" w:hAnsi="Tahoma" w:cs="Tahoma"/>
          <w:color w:val="000000"/>
          <w:sz w:val="20"/>
          <w:szCs w:val="20"/>
          <w:lang w:val="en-US"/>
        </w:rPr>
        <w:br/>
      </w:r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>3.    </w:t>
      </w:r>
      <w:proofErr w:type="spellStart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>Bartolini</w:t>
      </w:r>
      <w:proofErr w:type="spellEnd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 xml:space="preserve"> D, </w:t>
      </w:r>
      <w:proofErr w:type="spellStart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>Commodi</w:t>
      </w:r>
      <w:proofErr w:type="spellEnd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 xml:space="preserve"> J, </w:t>
      </w:r>
      <w:proofErr w:type="spellStart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>Piroddi</w:t>
      </w:r>
      <w:proofErr w:type="spellEnd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 xml:space="preserve"> M, </w:t>
      </w:r>
      <w:proofErr w:type="spellStart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>Incipini</w:t>
      </w:r>
      <w:proofErr w:type="spellEnd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 xml:space="preserve"> L, </w:t>
      </w:r>
      <w:proofErr w:type="spellStart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>Sancineto</w:t>
      </w:r>
      <w:proofErr w:type="spellEnd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 xml:space="preserve"> L, </w:t>
      </w:r>
      <w:proofErr w:type="spellStart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>Santi</w:t>
      </w:r>
      <w:proofErr w:type="spellEnd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 xml:space="preserve"> C, </w:t>
      </w:r>
      <w:proofErr w:type="spellStart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>Galli</w:t>
      </w:r>
      <w:proofErr w:type="spellEnd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 xml:space="preserve"> F. Glutathione </w:t>
      </w:r>
      <w:proofErr w:type="spellStart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>Stransferase</w:t>
      </w:r>
      <w:proofErr w:type="spellEnd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 xml:space="preserve"> pi expression regulates the Nrf2- dependent response to </w:t>
      </w:r>
      <w:proofErr w:type="spellStart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>hormetic</w:t>
      </w:r>
      <w:proofErr w:type="spellEnd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>diselenides</w:t>
      </w:r>
      <w:proofErr w:type="spellEnd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>. Free radical biology &amp; medici</w:t>
      </w:r>
      <w:r>
        <w:rPr>
          <w:rFonts w:ascii="Tahoma" w:hAnsi="Tahoma" w:cs="Tahoma"/>
          <w:color w:val="000000"/>
          <w:sz w:val="20"/>
          <w:szCs w:val="20"/>
          <w:lang w:val="en-US"/>
        </w:rPr>
        <w:t>ne 2015; 88(Pt B): 466-480.</w:t>
      </w:r>
      <w:r>
        <w:rPr>
          <w:rFonts w:ascii="Tahoma" w:hAnsi="Tahoma" w:cs="Tahoma"/>
          <w:color w:val="000000"/>
          <w:sz w:val="20"/>
          <w:szCs w:val="20"/>
          <w:lang w:val="en-US"/>
        </w:rPr>
        <w:br/>
      </w:r>
      <w:r>
        <w:rPr>
          <w:rFonts w:ascii="Tahoma" w:hAnsi="Tahoma" w:cs="Tahoma"/>
          <w:color w:val="000000"/>
          <w:sz w:val="20"/>
          <w:szCs w:val="20"/>
          <w:lang w:val="en-US"/>
        </w:rPr>
        <w:br/>
      </w:r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>4.    </w:t>
      </w:r>
      <w:proofErr w:type="spellStart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>Bartolini</w:t>
      </w:r>
      <w:proofErr w:type="spellEnd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 xml:space="preserve">, D., </w:t>
      </w:r>
      <w:proofErr w:type="spellStart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>Piroddi</w:t>
      </w:r>
      <w:proofErr w:type="spellEnd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 xml:space="preserve">, M., </w:t>
      </w:r>
      <w:proofErr w:type="spellStart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>Tidei</w:t>
      </w:r>
      <w:proofErr w:type="spellEnd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 xml:space="preserve">, C., </w:t>
      </w:r>
      <w:proofErr w:type="spellStart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>Giovagnoli</w:t>
      </w:r>
      <w:proofErr w:type="spellEnd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 xml:space="preserve">, S., </w:t>
      </w:r>
      <w:proofErr w:type="spellStart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>Pietrella</w:t>
      </w:r>
      <w:proofErr w:type="spellEnd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 xml:space="preserve">, D., </w:t>
      </w:r>
      <w:proofErr w:type="spellStart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>Manevich</w:t>
      </w:r>
      <w:proofErr w:type="spellEnd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 xml:space="preserve">, Y., </w:t>
      </w:r>
      <w:proofErr w:type="spellStart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>Tew</w:t>
      </w:r>
      <w:proofErr w:type="spellEnd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 xml:space="preserve">, K.D., </w:t>
      </w:r>
      <w:proofErr w:type="spellStart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>Giustarini</w:t>
      </w:r>
      <w:proofErr w:type="spellEnd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 xml:space="preserve">, D., Rossi, R., Townsend, D.M., </w:t>
      </w:r>
      <w:proofErr w:type="spellStart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>Santi</w:t>
      </w:r>
      <w:proofErr w:type="spellEnd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 xml:space="preserve">, C., </w:t>
      </w:r>
      <w:proofErr w:type="spellStart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>Galli</w:t>
      </w:r>
      <w:proofErr w:type="spellEnd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>, F. Reaction kinetics and targeting to cellular glutathione S-</w:t>
      </w:r>
      <w:proofErr w:type="spellStart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>transferase</w:t>
      </w:r>
      <w:proofErr w:type="spellEnd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 xml:space="preserve"> of the glutathione </w:t>
      </w:r>
      <w:proofErr w:type="spellStart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>peroxidase</w:t>
      </w:r>
      <w:proofErr w:type="spellEnd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 xml:space="preserve"> mimetic </w:t>
      </w:r>
      <w:proofErr w:type="spellStart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>PhSeZnCl</w:t>
      </w:r>
      <w:proofErr w:type="spellEnd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 xml:space="preserve"> and its </w:t>
      </w:r>
      <w:proofErr w:type="spellStart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>d,l</w:t>
      </w:r>
      <w:proofErr w:type="spellEnd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 xml:space="preserve">- </w:t>
      </w:r>
      <w:proofErr w:type="spellStart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>polylactide</w:t>
      </w:r>
      <w:proofErr w:type="spellEnd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>microparticle</w:t>
      </w:r>
      <w:proofErr w:type="spellEnd"/>
      <w:r w:rsidRPr="009C4574">
        <w:rPr>
          <w:rFonts w:ascii="Tahoma" w:hAnsi="Tahoma" w:cs="Tahoma"/>
          <w:color w:val="000000"/>
          <w:sz w:val="20"/>
          <w:szCs w:val="20"/>
          <w:lang w:val="en-US"/>
        </w:rPr>
        <w:t xml:space="preserve"> formulation (2015) Free Radical Biology and Medicine, 78, pp. 56-65. </w:t>
      </w:r>
    </w:p>
    <w:p w:rsidR="009C4574" w:rsidRPr="009C4574" w:rsidRDefault="009C4574" w:rsidP="00C01FB3">
      <w:pPr>
        <w:spacing w:line="360" w:lineRule="auto"/>
        <w:jc w:val="both"/>
        <w:rPr>
          <w:rFonts w:ascii="Tahoma" w:hAnsi="Tahoma" w:cs="Tahoma"/>
          <w:i/>
          <w:sz w:val="20"/>
          <w:szCs w:val="20"/>
          <w:lang w:val="en-US"/>
        </w:rPr>
      </w:pPr>
    </w:p>
    <w:p w:rsidR="009C4574" w:rsidRDefault="009C4574" w:rsidP="009C457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80D1E">
        <w:rPr>
          <w:rStyle w:val="Forte"/>
          <w:rFonts w:ascii="Tahoma" w:hAnsi="Tahoma" w:cs="Tahoma"/>
          <w:sz w:val="20"/>
          <w:szCs w:val="20"/>
        </w:rPr>
        <w:t>Sobre o palestrante:</w:t>
      </w:r>
      <w:r w:rsidRPr="00480D1E">
        <w:rPr>
          <w:rFonts w:ascii="Tahoma" w:hAnsi="Tahoma" w:cs="Tahoma"/>
          <w:sz w:val="20"/>
          <w:szCs w:val="20"/>
        </w:rPr>
        <w:t xml:space="preserve"> </w:t>
      </w:r>
      <w:r w:rsidRPr="00B63C41">
        <w:rPr>
          <w:rFonts w:ascii="Tahoma" w:hAnsi="Tahoma" w:cs="Tahoma"/>
          <w:sz w:val="20"/>
          <w:szCs w:val="20"/>
        </w:rPr>
        <w:t xml:space="preserve">Claudio </w:t>
      </w:r>
      <w:proofErr w:type="spellStart"/>
      <w:r w:rsidRPr="00B63C41">
        <w:rPr>
          <w:rFonts w:ascii="Tahoma" w:hAnsi="Tahoma" w:cs="Tahoma"/>
          <w:sz w:val="20"/>
          <w:szCs w:val="20"/>
        </w:rPr>
        <w:t>Santi</w:t>
      </w:r>
      <w:proofErr w:type="spellEnd"/>
      <w:r w:rsidRPr="00B63C41">
        <w:rPr>
          <w:rFonts w:ascii="Tahoma" w:hAnsi="Tahoma" w:cs="Tahoma"/>
          <w:sz w:val="20"/>
          <w:szCs w:val="20"/>
        </w:rPr>
        <w:t xml:space="preserve"> é Professor de Química (espectroscopia e métodos físicos de análise) no Departamento de Química e Tecnologia de Fármacos da Universidade de </w:t>
      </w:r>
      <w:proofErr w:type="spellStart"/>
      <w:r w:rsidRPr="00B63C41">
        <w:rPr>
          <w:rFonts w:ascii="Tahoma" w:hAnsi="Tahoma" w:cs="Tahoma"/>
          <w:sz w:val="20"/>
          <w:szCs w:val="20"/>
        </w:rPr>
        <w:t>Perugia</w:t>
      </w:r>
      <w:proofErr w:type="spellEnd"/>
      <w:r w:rsidRPr="00B63C4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63C41">
        <w:rPr>
          <w:rFonts w:ascii="Tahoma" w:hAnsi="Tahoma" w:cs="Tahoma"/>
          <w:sz w:val="20"/>
          <w:szCs w:val="20"/>
        </w:rPr>
        <w:t>Italia</w:t>
      </w:r>
      <w:proofErr w:type="spellEnd"/>
      <w:r w:rsidRPr="00B63C41">
        <w:rPr>
          <w:rFonts w:ascii="Tahoma" w:hAnsi="Tahoma" w:cs="Tahoma"/>
          <w:sz w:val="20"/>
          <w:szCs w:val="20"/>
        </w:rPr>
        <w:t xml:space="preserve">. Ele realizou seu doutorado na Universidade de </w:t>
      </w:r>
      <w:proofErr w:type="spellStart"/>
      <w:r w:rsidRPr="00B63C41">
        <w:rPr>
          <w:rFonts w:ascii="Tahoma" w:hAnsi="Tahoma" w:cs="Tahoma"/>
          <w:sz w:val="20"/>
          <w:szCs w:val="20"/>
        </w:rPr>
        <w:t>Perugia</w:t>
      </w:r>
      <w:proofErr w:type="spellEnd"/>
      <w:r w:rsidRPr="00B63C41">
        <w:rPr>
          <w:rFonts w:ascii="Tahoma" w:hAnsi="Tahoma" w:cs="Tahoma"/>
          <w:sz w:val="20"/>
          <w:szCs w:val="20"/>
        </w:rPr>
        <w:t xml:space="preserve">, sob orientação do Prof. Marcello </w:t>
      </w:r>
      <w:proofErr w:type="spellStart"/>
      <w:r w:rsidRPr="00B63C41">
        <w:rPr>
          <w:rFonts w:ascii="Tahoma" w:hAnsi="Tahoma" w:cs="Tahoma"/>
          <w:sz w:val="20"/>
          <w:szCs w:val="20"/>
        </w:rPr>
        <w:t>Tiecco</w:t>
      </w:r>
      <w:proofErr w:type="spellEnd"/>
      <w:r w:rsidRPr="00B63C41">
        <w:rPr>
          <w:rFonts w:ascii="Tahoma" w:hAnsi="Tahoma" w:cs="Tahoma"/>
          <w:sz w:val="20"/>
          <w:szCs w:val="20"/>
        </w:rPr>
        <w:t xml:space="preserve">, quando estudou a utilização de reagentes </w:t>
      </w:r>
      <w:proofErr w:type="spellStart"/>
      <w:r w:rsidRPr="00B63C41">
        <w:rPr>
          <w:rFonts w:ascii="Tahoma" w:hAnsi="Tahoma" w:cs="Tahoma"/>
          <w:sz w:val="20"/>
          <w:szCs w:val="20"/>
        </w:rPr>
        <w:t>organosselênio</w:t>
      </w:r>
      <w:proofErr w:type="spellEnd"/>
      <w:r w:rsidRPr="00B63C41">
        <w:rPr>
          <w:rFonts w:ascii="Tahoma" w:hAnsi="Tahoma" w:cs="Tahoma"/>
          <w:sz w:val="20"/>
          <w:szCs w:val="20"/>
        </w:rPr>
        <w:t xml:space="preserve"> na conversão de grupos funcionais em síntese orgânica. Em 1998 realizou pós-doutorado na Universidade de </w:t>
      </w:r>
      <w:proofErr w:type="spellStart"/>
      <w:r w:rsidRPr="00B63C41">
        <w:rPr>
          <w:rFonts w:ascii="Tahoma" w:hAnsi="Tahoma" w:cs="Tahoma"/>
          <w:sz w:val="20"/>
          <w:szCs w:val="20"/>
        </w:rPr>
        <w:t>Basel</w:t>
      </w:r>
      <w:proofErr w:type="spellEnd"/>
      <w:r w:rsidRPr="00B63C41">
        <w:rPr>
          <w:rFonts w:ascii="Tahoma" w:hAnsi="Tahoma" w:cs="Tahoma"/>
          <w:sz w:val="20"/>
          <w:szCs w:val="20"/>
        </w:rPr>
        <w:t xml:space="preserve">, no grupo do </w:t>
      </w:r>
      <w:proofErr w:type="spellStart"/>
      <w:r w:rsidRPr="00B63C41">
        <w:rPr>
          <w:rFonts w:ascii="Tahoma" w:hAnsi="Tahoma" w:cs="Tahoma"/>
          <w:sz w:val="20"/>
          <w:szCs w:val="20"/>
        </w:rPr>
        <w:t>Prof</w:t>
      </w:r>
      <w:proofErr w:type="spellEnd"/>
      <w:r w:rsidRPr="00B63C41">
        <w:rPr>
          <w:rFonts w:ascii="Tahoma" w:hAnsi="Tahoma" w:cs="Tahoma"/>
          <w:sz w:val="20"/>
          <w:szCs w:val="20"/>
        </w:rPr>
        <w:t xml:space="preserve"> Thomas </w:t>
      </w:r>
      <w:proofErr w:type="spellStart"/>
      <w:r w:rsidRPr="00B63C41">
        <w:rPr>
          <w:rFonts w:ascii="Tahoma" w:hAnsi="Tahoma" w:cs="Tahoma"/>
          <w:sz w:val="20"/>
          <w:szCs w:val="20"/>
        </w:rPr>
        <w:t>Wirth</w:t>
      </w:r>
      <w:proofErr w:type="spellEnd"/>
      <w:r w:rsidRPr="00B63C41">
        <w:rPr>
          <w:rFonts w:ascii="Tahoma" w:hAnsi="Tahoma" w:cs="Tahoma"/>
          <w:sz w:val="20"/>
          <w:szCs w:val="20"/>
        </w:rPr>
        <w:t xml:space="preserve">, desenvolvendo metodologias para síntese assimétrica via reagentes de selênio </w:t>
      </w:r>
      <w:proofErr w:type="spellStart"/>
      <w:r w:rsidRPr="00B63C41">
        <w:rPr>
          <w:rFonts w:ascii="Tahoma" w:hAnsi="Tahoma" w:cs="Tahoma"/>
          <w:sz w:val="20"/>
          <w:szCs w:val="20"/>
        </w:rPr>
        <w:t>quirais</w:t>
      </w:r>
      <w:proofErr w:type="spellEnd"/>
      <w:r w:rsidRPr="00B63C41">
        <w:rPr>
          <w:rFonts w:ascii="Tahoma" w:hAnsi="Tahoma" w:cs="Tahoma"/>
          <w:sz w:val="20"/>
          <w:szCs w:val="20"/>
        </w:rPr>
        <w:t xml:space="preserve">. O </w:t>
      </w:r>
      <w:proofErr w:type="spellStart"/>
      <w:r w:rsidRPr="00B63C41">
        <w:rPr>
          <w:rFonts w:ascii="Tahoma" w:hAnsi="Tahoma" w:cs="Tahoma"/>
          <w:sz w:val="20"/>
          <w:szCs w:val="20"/>
        </w:rPr>
        <w:t>Prof</w:t>
      </w:r>
      <w:proofErr w:type="spellEnd"/>
      <w:r w:rsidRPr="00B63C4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3C41">
        <w:rPr>
          <w:rFonts w:ascii="Tahoma" w:hAnsi="Tahoma" w:cs="Tahoma"/>
          <w:sz w:val="20"/>
          <w:szCs w:val="20"/>
        </w:rPr>
        <w:t>Santi</w:t>
      </w:r>
      <w:proofErr w:type="spellEnd"/>
      <w:r w:rsidRPr="00B63C41">
        <w:rPr>
          <w:rFonts w:ascii="Tahoma" w:hAnsi="Tahoma" w:cs="Tahoma"/>
          <w:sz w:val="20"/>
          <w:szCs w:val="20"/>
        </w:rPr>
        <w:t xml:space="preserve"> possui quase 100 publicações, entre artigos científicos, </w:t>
      </w:r>
      <w:proofErr w:type="spellStart"/>
      <w:r w:rsidRPr="00B63C41">
        <w:rPr>
          <w:rFonts w:ascii="Tahoma" w:hAnsi="Tahoma" w:cs="Tahoma"/>
          <w:sz w:val="20"/>
          <w:szCs w:val="20"/>
        </w:rPr>
        <w:t>reviews</w:t>
      </w:r>
      <w:proofErr w:type="spellEnd"/>
      <w:r w:rsidRPr="00B63C41">
        <w:rPr>
          <w:rFonts w:ascii="Tahoma" w:hAnsi="Tahoma" w:cs="Tahoma"/>
          <w:sz w:val="20"/>
          <w:szCs w:val="20"/>
        </w:rPr>
        <w:t xml:space="preserve"> e capítulos de livro. Seus principais interesses de pesquisa incluem:</w:t>
      </w:r>
    </w:p>
    <w:p w:rsidR="009C4574" w:rsidRPr="00B63C41" w:rsidRDefault="009C4574" w:rsidP="009C4574">
      <w:pPr>
        <w:spacing w:line="360" w:lineRule="auto"/>
        <w:rPr>
          <w:rFonts w:ascii="Tahoma" w:hAnsi="Tahoma" w:cs="Tahoma"/>
          <w:sz w:val="20"/>
          <w:szCs w:val="20"/>
        </w:rPr>
      </w:pPr>
      <w:r w:rsidRPr="00B63C41">
        <w:rPr>
          <w:rFonts w:ascii="Tahoma" w:hAnsi="Tahoma" w:cs="Tahoma"/>
          <w:sz w:val="20"/>
          <w:szCs w:val="20"/>
        </w:rPr>
        <w:br/>
        <w:t>-</w:t>
      </w:r>
      <w:r>
        <w:rPr>
          <w:rFonts w:ascii="Tahoma" w:hAnsi="Tahoma" w:cs="Tahoma"/>
          <w:sz w:val="20"/>
          <w:szCs w:val="20"/>
        </w:rPr>
        <w:t xml:space="preserve"> </w:t>
      </w:r>
      <w:r w:rsidRPr="00B63C41">
        <w:rPr>
          <w:rFonts w:ascii="Tahoma" w:hAnsi="Tahoma" w:cs="Tahoma"/>
          <w:sz w:val="20"/>
          <w:szCs w:val="20"/>
        </w:rPr>
        <w:t xml:space="preserve">Novas metodologias para a síntese de compostos </w:t>
      </w:r>
      <w:proofErr w:type="spellStart"/>
      <w:r w:rsidRPr="00B63C41">
        <w:rPr>
          <w:rFonts w:ascii="Tahoma" w:hAnsi="Tahoma" w:cs="Tahoma"/>
          <w:sz w:val="20"/>
          <w:szCs w:val="20"/>
        </w:rPr>
        <w:t>heterocíclicos</w:t>
      </w:r>
      <w:proofErr w:type="spellEnd"/>
      <w:r w:rsidRPr="00B63C41">
        <w:rPr>
          <w:rFonts w:ascii="Tahoma" w:hAnsi="Tahoma" w:cs="Tahoma"/>
          <w:sz w:val="20"/>
          <w:szCs w:val="20"/>
        </w:rPr>
        <w:t>;</w:t>
      </w:r>
      <w:r w:rsidRPr="00B63C41">
        <w:rPr>
          <w:rFonts w:ascii="Tahoma" w:hAnsi="Tahoma" w:cs="Tahoma"/>
          <w:sz w:val="20"/>
          <w:szCs w:val="20"/>
        </w:rPr>
        <w:br/>
      </w:r>
      <w:r w:rsidRPr="00B63C41">
        <w:rPr>
          <w:rFonts w:ascii="Tahoma" w:hAnsi="Tahoma" w:cs="Tahoma"/>
          <w:sz w:val="20"/>
          <w:szCs w:val="20"/>
        </w:rPr>
        <w:lastRenderedPageBreak/>
        <w:t>-</w:t>
      </w:r>
      <w:r>
        <w:rPr>
          <w:rFonts w:ascii="Tahoma" w:hAnsi="Tahoma" w:cs="Tahoma"/>
          <w:sz w:val="20"/>
          <w:szCs w:val="20"/>
        </w:rPr>
        <w:t xml:space="preserve"> </w:t>
      </w:r>
      <w:r w:rsidRPr="00B63C41">
        <w:rPr>
          <w:rFonts w:ascii="Tahoma" w:hAnsi="Tahoma" w:cs="Tahoma"/>
          <w:sz w:val="20"/>
          <w:szCs w:val="20"/>
        </w:rPr>
        <w:t xml:space="preserve">Síntese </w:t>
      </w:r>
      <w:proofErr w:type="spellStart"/>
      <w:r w:rsidRPr="00B63C41">
        <w:rPr>
          <w:rFonts w:ascii="Tahoma" w:hAnsi="Tahoma" w:cs="Tahoma"/>
          <w:sz w:val="20"/>
          <w:szCs w:val="20"/>
        </w:rPr>
        <w:t>estereosseletiva</w:t>
      </w:r>
      <w:proofErr w:type="spellEnd"/>
      <w:r w:rsidRPr="00B63C41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B63C41">
        <w:rPr>
          <w:rFonts w:ascii="Tahoma" w:hAnsi="Tahoma" w:cs="Tahoma"/>
          <w:sz w:val="20"/>
          <w:szCs w:val="20"/>
        </w:rPr>
        <w:t>tetraidrofuranos</w:t>
      </w:r>
      <w:proofErr w:type="spellEnd"/>
      <w:r w:rsidRPr="00B63C41">
        <w:rPr>
          <w:rFonts w:ascii="Tahoma" w:hAnsi="Tahoma" w:cs="Tahoma"/>
          <w:sz w:val="20"/>
          <w:szCs w:val="20"/>
        </w:rPr>
        <w:t xml:space="preserve"> substituídos;</w:t>
      </w:r>
      <w:r w:rsidRPr="00B63C41">
        <w:rPr>
          <w:rFonts w:ascii="Tahoma" w:hAnsi="Tahoma" w:cs="Tahoma"/>
          <w:sz w:val="20"/>
          <w:szCs w:val="20"/>
        </w:rPr>
        <w:br/>
        <w:t>-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3C41">
        <w:rPr>
          <w:rFonts w:ascii="Tahoma" w:hAnsi="Tahoma" w:cs="Tahoma"/>
          <w:sz w:val="20"/>
          <w:szCs w:val="20"/>
        </w:rPr>
        <w:t>Ciclofuncionalização</w:t>
      </w:r>
      <w:proofErr w:type="spellEnd"/>
      <w:r w:rsidRPr="00B63C41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B63C41">
        <w:rPr>
          <w:rFonts w:ascii="Tahoma" w:hAnsi="Tahoma" w:cs="Tahoma"/>
          <w:sz w:val="20"/>
          <w:szCs w:val="20"/>
        </w:rPr>
        <w:t>O-aliloximas</w:t>
      </w:r>
      <w:proofErr w:type="spellEnd"/>
      <w:r w:rsidRPr="00B63C4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63C41">
        <w:rPr>
          <w:rFonts w:ascii="Tahoma" w:hAnsi="Tahoma" w:cs="Tahoma"/>
          <w:sz w:val="20"/>
          <w:szCs w:val="20"/>
        </w:rPr>
        <w:t>alkeniliminas</w:t>
      </w:r>
      <w:proofErr w:type="spellEnd"/>
      <w:r w:rsidRPr="00B63C41">
        <w:rPr>
          <w:rFonts w:ascii="Tahoma" w:hAnsi="Tahoma" w:cs="Tahoma"/>
          <w:sz w:val="20"/>
          <w:szCs w:val="20"/>
        </w:rPr>
        <w:t xml:space="preserve"> e </w:t>
      </w:r>
      <w:proofErr w:type="spellStart"/>
      <w:r w:rsidRPr="00B63C41">
        <w:rPr>
          <w:rFonts w:ascii="Tahoma" w:hAnsi="Tahoma" w:cs="Tahoma"/>
          <w:sz w:val="20"/>
          <w:szCs w:val="20"/>
        </w:rPr>
        <w:t>alkenil</w:t>
      </w:r>
      <w:proofErr w:type="spellEnd"/>
      <w:r w:rsidRPr="00B63C4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3C41">
        <w:rPr>
          <w:rFonts w:ascii="Tahoma" w:hAnsi="Tahoma" w:cs="Tahoma"/>
          <w:sz w:val="20"/>
          <w:szCs w:val="20"/>
        </w:rPr>
        <w:t>oxaziridinas</w:t>
      </w:r>
      <w:proofErr w:type="spellEnd"/>
      <w:r w:rsidRPr="00B63C41">
        <w:rPr>
          <w:rFonts w:ascii="Tahoma" w:hAnsi="Tahoma" w:cs="Tahoma"/>
          <w:sz w:val="20"/>
          <w:szCs w:val="20"/>
        </w:rPr>
        <w:t>;</w:t>
      </w:r>
      <w:r w:rsidRPr="00B63C41">
        <w:rPr>
          <w:rFonts w:ascii="Tahoma" w:hAnsi="Tahoma" w:cs="Tahoma"/>
          <w:sz w:val="20"/>
          <w:szCs w:val="20"/>
        </w:rPr>
        <w:br/>
        <w:t>-</w:t>
      </w:r>
      <w:r>
        <w:rPr>
          <w:rFonts w:ascii="Tahoma" w:hAnsi="Tahoma" w:cs="Tahoma"/>
          <w:sz w:val="20"/>
          <w:szCs w:val="20"/>
        </w:rPr>
        <w:t xml:space="preserve"> </w:t>
      </w:r>
      <w:r w:rsidRPr="00B63C41">
        <w:rPr>
          <w:rFonts w:ascii="Tahoma" w:hAnsi="Tahoma" w:cs="Tahoma"/>
          <w:sz w:val="20"/>
          <w:szCs w:val="20"/>
        </w:rPr>
        <w:t xml:space="preserve">Novas reações catalíticas: reações de </w:t>
      </w:r>
      <w:proofErr w:type="spellStart"/>
      <w:r w:rsidRPr="00B63C41">
        <w:rPr>
          <w:rFonts w:ascii="Tahoma" w:hAnsi="Tahoma" w:cs="Tahoma"/>
          <w:sz w:val="20"/>
          <w:szCs w:val="20"/>
        </w:rPr>
        <w:t>selenilação</w:t>
      </w:r>
      <w:proofErr w:type="spellEnd"/>
      <w:r w:rsidRPr="00B63C41">
        <w:rPr>
          <w:rFonts w:ascii="Tahoma" w:hAnsi="Tahoma" w:cs="Tahoma"/>
          <w:sz w:val="20"/>
          <w:szCs w:val="20"/>
        </w:rPr>
        <w:t xml:space="preserve"> e </w:t>
      </w:r>
      <w:proofErr w:type="spellStart"/>
      <w:r w:rsidRPr="00B63C41">
        <w:rPr>
          <w:rFonts w:ascii="Tahoma" w:hAnsi="Tahoma" w:cs="Tahoma"/>
          <w:sz w:val="20"/>
          <w:szCs w:val="20"/>
        </w:rPr>
        <w:t>desselenilação</w:t>
      </w:r>
      <w:proofErr w:type="spellEnd"/>
      <w:r w:rsidRPr="00B63C4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3C41">
        <w:rPr>
          <w:rFonts w:ascii="Tahoma" w:hAnsi="Tahoma" w:cs="Tahoma"/>
          <w:sz w:val="20"/>
          <w:szCs w:val="20"/>
        </w:rPr>
        <w:t>one</w:t>
      </w:r>
      <w:proofErr w:type="spellEnd"/>
      <w:r w:rsidRPr="00B63C4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3C41">
        <w:rPr>
          <w:rFonts w:ascii="Tahoma" w:hAnsi="Tahoma" w:cs="Tahoma"/>
          <w:sz w:val="20"/>
          <w:szCs w:val="20"/>
        </w:rPr>
        <w:t>pot</w:t>
      </w:r>
      <w:proofErr w:type="spellEnd"/>
      <w:r w:rsidRPr="00B63C41">
        <w:rPr>
          <w:rFonts w:ascii="Tahoma" w:hAnsi="Tahoma" w:cs="Tahoma"/>
          <w:sz w:val="20"/>
          <w:szCs w:val="20"/>
        </w:rPr>
        <w:t>;</w:t>
      </w:r>
      <w:r w:rsidRPr="00B63C41">
        <w:rPr>
          <w:rFonts w:ascii="Tahoma" w:hAnsi="Tahoma" w:cs="Tahoma"/>
          <w:sz w:val="20"/>
          <w:szCs w:val="20"/>
        </w:rPr>
        <w:br/>
        <w:t>-</w:t>
      </w:r>
      <w:r>
        <w:rPr>
          <w:rFonts w:ascii="Tahoma" w:hAnsi="Tahoma" w:cs="Tahoma"/>
          <w:sz w:val="20"/>
          <w:szCs w:val="20"/>
        </w:rPr>
        <w:t xml:space="preserve"> </w:t>
      </w:r>
      <w:r w:rsidRPr="00B63C41">
        <w:rPr>
          <w:rFonts w:ascii="Tahoma" w:hAnsi="Tahoma" w:cs="Tahoma"/>
          <w:sz w:val="20"/>
          <w:szCs w:val="20"/>
        </w:rPr>
        <w:t>Síntese de 2,5-</w:t>
      </w:r>
      <w:proofErr w:type="spellStart"/>
      <w:r w:rsidRPr="00B63C41">
        <w:rPr>
          <w:rFonts w:ascii="Tahoma" w:hAnsi="Tahoma" w:cs="Tahoma"/>
          <w:sz w:val="20"/>
          <w:szCs w:val="20"/>
        </w:rPr>
        <w:t>diidrofuranos</w:t>
      </w:r>
      <w:proofErr w:type="spellEnd"/>
      <w:r w:rsidRPr="00B63C41">
        <w:rPr>
          <w:rFonts w:ascii="Tahoma" w:hAnsi="Tahoma" w:cs="Tahoma"/>
          <w:sz w:val="20"/>
          <w:szCs w:val="20"/>
        </w:rPr>
        <w:t xml:space="preserve"> e </w:t>
      </w:r>
      <w:proofErr w:type="spellStart"/>
      <w:r w:rsidRPr="00B63C41">
        <w:rPr>
          <w:rFonts w:ascii="Tahoma" w:hAnsi="Tahoma" w:cs="Tahoma"/>
          <w:sz w:val="20"/>
          <w:szCs w:val="20"/>
        </w:rPr>
        <w:t>butenolidas</w:t>
      </w:r>
      <w:proofErr w:type="spellEnd"/>
      <w:r w:rsidRPr="00B63C41">
        <w:rPr>
          <w:rFonts w:ascii="Tahoma" w:hAnsi="Tahoma" w:cs="Tahoma"/>
          <w:sz w:val="20"/>
          <w:szCs w:val="20"/>
        </w:rPr>
        <w:t>.</w:t>
      </w:r>
    </w:p>
    <w:p w:rsidR="006411C4" w:rsidRPr="00BD056E" w:rsidRDefault="006411C4" w:rsidP="009C4574">
      <w:pPr>
        <w:pStyle w:val="NormalWeb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sectPr w:rsidR="006411C4" w:rsidRPr="00BD056E" w:rsidSect="00B023B2">
      <w:pgSz w:w="11906" w:h="16838"/>
      <w:pgMar w:top="993" w:right="170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E2032"/>
    <w:rsid w:val="000039DE"/>
    <w:rsid w:val="000041F4"/>
    <w:rsid w:val="0000615F"/>
    <w:rsid w:val="000067E2"/>
    <w:rsid w:val="00017670"/>
    <w:rsid w:val="00022C9A"/>
    <w:rsid w:val="00023885"/>
    <w:rsid w:val="000341F3"/>
    <w:rsid w:val="0004773C"/>
    <w:rsid w:val="00051184"/>
    <w:rsid w:val="0005349D"/>
    <w:rsid w:val="00070658"/>
    <w:rsid w:val="00075EF0"/>
    <w:rsid w:val="00077174"/>
    <w:rsid w:val="000853A5"/>
    <w:rsid w:val="00085DAC"/>
    <w:rsid w:val="00087844"/>
    <w:rsid w:val="000917B7"/>
    <w:rsid w:val="00094EF7"/>
    <w:rsid w:val="000A76B8"/>
    <w:rsid w:val="000B29AF"/>
    <w:rsid w:val="000B7D71"/>
    <w:rsid w:val="000C2173"/>
    <w:rsid w:val="000C35EC"/>
    <w:rsid w:val="000D0946"/>
    <w:rsid w:val="000E0684"/>
    <w:rsid w:val="000F0BDE"/>
    <w:rsid w:val="000F1491"/>
    <w:rsid w:val="000F6C34"/>
    <w:rsid w:val="000F7642"/>
    <w:rsid w:val="000F78E8"/>
    <w:rsid w:val="001036DC"/>
    <w:rsid w:val="00107733"/>
    <w:rsid w:val="0012151A"/>
    <w:rsid w:val="00131F39"/>
    <w:rsid w:val="00136E06"/>
    <w:rsid w:val="00140C61"/>
    <w:rsid w:val="001414B7"/>
    <w:rsid w:val="00142EE8"/>
    <w:rsid w:val="0016137B"/>
    <w:rsid w:val="00171061"/>
    <w:rsid w:val="0017722A"/>
    <w:rsid w:val="001A234B"/>
    <w:rsid w:val="001A5673"/>
    <w:rsid w:val="001A7CCC"/>
    <w:rsid w:val="001B4EF3"/>
    <w:rsid w:val="001B6B71"/>
    <w:rsid w:val="001C4C98"/>
    <w:rsid w:val="001C6FBD"/>
    <w:rsid w:val="001D42E2"/>
    <w:rsid w:val="001D5135"/>
    <w:rsid w:val="001D690A"/>
    <w:rsid w:val="001D79BC"/>
    <w:rsid w:val="001E17A2"/>
    <w:rsid w:val="001E7C51"/>
    <w:rsid w:val="001F6C36"/>
    <w:rsid w:val="00202F4D"/>
    <w:rsid w:val="002102CF"/>
    <w:rsid w:val="002145DE"/>
    <w:rsid w:val="002149D7"/>
    <w:rsid w:val="002217FA"/>
    <w:rsid w:val="002240AF"/>
    <w:rsid w:val="00232BB6"/>
    <w:rsid w:val="00244B55"/>
    <w:rsid w:val="00244CC8"/>
    <w:rsid w:val="00254B44"/>
    <w:rsid w:val="00260138"/>
    <w:rsid w:val="0028025C"/>
    <w:rsid w:val="00284B5B"/>
    <w:rsid w:val="002941D5"/>
    <w:rsid w:val="002A050A"/>
    <w:rsid w:val="002A744B"/>
    <w:rsid w:val="002D3830"/>
    <w:rsid w:val="002D3981"/>
    <w:rsid w:val="002D3DFF"/>
    <w:rsid w:val="002D772E"/>
    <w:rsid w:val="002E5328"/>
    <w:rsid w:val="002F2958"/>
    <w:rsid w:val="002F2E28"/>
    <w:rsid w:val="002F5325"/>
    <w:rsid w:val="002F5E83"/>
    <w:rsid w:val="0030146A"/>
    <w:rsid w:val="003060E4"/>
    <w:rsid w:val="003149B4"/>
    <w:rsid w:val="00320669"/>
    <w:rsid w:val="00332E9E"/>
    <w:rsid w:val="003339AF"/>
    <w:rsid w:val="0033575C"/>
    <w:rsid w:val="00335906"/>
    <w:rsid w:val="00335CAB"/>
    <w:rsid w:val="003379B6"/>
    <w:rsid w:val="00340384"/>
    <w:rsid w:val="00342F17"/>
    <w:rsid w:val="0034600C"/>
    <w:rsid w:val="00360FA8"/>
    <w:rsid w:val="003615E7"/>
    <w:rsid w:val="00365124"/>
    <w:rsid w:val="00367ADD"/>
    <w:rsid w:val="00374F8E"/>
    <w:rsid w:val="00380F7C"/>
    <w:rsid w:val="003822CF"/>
    <w:rsid w:val="00385249"/>
    <w:rsid w:val="0038620F"/>
    <w:rsid w:val="00387486"/>
    <w:rsid w:val="00393209"/>
    <w:rsid w:val="00395D92"/>
    <w:rsid w:val="003A64C3"/>
    <w:rsid w:val="003A6830"/>
    <w:rsid w:val="003B2A3E"/>
    <w:rsid w:val="003B7BBE"/>
    <w:rsid w:val="003C0793"/>
    <w:rsid w:val="003C1275"/>
    <w:rsid w:val="003C4C1E"/>
    <w:rsid w:val="003D1546"/>
    <w:rsid w:val="003E05D3"/>
    <w:rsid w:val="003E2062"/>
    <w:rsid w:val="003E7219"/>
    <w:rsid w:val="003F4588"/>
    <w:rsid w:val="00404746"/>
    <w:rsid w:val="00404FEA"/>
    <w:rsid w:val="00405CBD"/>
    <w:rsid w:val="00407490"/>
    <w:rsid w:val="004206A7"/>
    <w:rsid w:val="00422914"/>
    <w:rsid w:val="00424DD1"/>
    <w:rsid w:val="004460D5"/>
    <w:rsid w:val="00446B4D"/>
    <w:rsid w:val="004501A2"/>
    <w:rsid w:val="004515E6"/>
    <w:rsid w:val="0045257A"/>
    <w:rsid w:val="00471F06"/>
    <w:rsid w:val="00480D1E"/>
    <w:rsid w:val="00483C02"/>
    <w:rsid w:val="0048493C"/>
    <w:rsid w:val="00486052"/>
    <w:rsid w:val="00497FBF"/>
    <w:rsid w:val="004A388F"/>
    <w:rsid w:val="004A6406"/>
    <w:rsid w:val="004C3985"/>
    <w:rsid w:val="004C4289"/>
    <w:rsid w:val="004D6361"/>
    <w:rsid w:val="004E5C63"/>
    <w:rsid w:val="004F66BF"/>
    <w:rsid w:val="00500DA0"/>
    <w:rsid w:val="00506BAC"/>
    <w:rsid w:val="0051065A"/>
    <w:rsid w:val="0051090D"/>
    <w:rsid w:val="00512FA5"/>
    <w:rsid w:val="0051537B"/>
    <w:rsid w:val="00516396"/>
    <w:rsid w:val="00521066"/>
    <w:rsid w:val="00521B05"/>
    <w:rsid w:val="00523A38"/>
    <w:rsid w:val="0052563C"/>
    <w:rsid w:val="005308F3"/>
    <w:rsid w:val="00530F95"/>
    <w:rsid w:val="00540EB3"/>
    <w:rsid w:val="00545184"/>
    <w:rsid w:val="00550B69"/>
    <w:rsid w:val="00551569"/>
    <w:rsid w:val="00552A5F"/>
    <w:rsid w:val="00561D7A"/>
    <w:rsid w:val="005622F6"/>
    <w:rsid w:val="00573473"/>
    <w:rsid w:val="00574D16"/>
    <w:rsid w:val="005809C6"/>
    <w:rsid w:val="005828A2"/>
    <w:rsid w:val="00584F17"/>
    <w:rsid w:val="005870FD"/>
    <w:rsid w:val="00592D24"/>
    <w:rsid w:val="005A0958"/>
    <w:rsid w:val="005A1FD8"/>
    <w:rsid w:val="005A3282"/>
    <w:rsid w:val="005A6EFC"/>
    <w:rsid w:val="005B49FB"/>
    <w:rsid w:val="005B5368"/>
    <w:rsid w:val="005B6CF8"/>
    <w:rsid w:val="005E3F48"/>
    <w:rsid w:val="005E5966"/>
    <w:rsid w:val="005E5C37"/>
    <w:rsid w:val="00600C5C"/>
    <w:rsid w:val="006050A6"/>
    <w:rsid w:val="006054BE"/>
    <w:rsid w:val="00614AAB"/>
    <w:rsid w:val="0062460A"/>
    <w:rsid w:val="0062544B"/>
    <w:rsid w:val="00625BAF"/>
    <w:rsid w:val="00626674"/>
    <w:rsid w:val="00635785"/>
    <w:rsid w:val="006411C4"/>
    <w:rsid w:val="0064288C"/>
    <w:rsid w:val="00643737"/>
    <w:rsid w:val="00647378"/>
    <w:rsid w:val="00652225"/>
    <w:rsid w:val="006559F3"/>
    <w:rsid w:val="00656F74"/>
    <w:rsid w:val="00657D30"/>
    <w:rsid w:val="00660747"/>
    <w:rsid w:val="0066234A"/>
    <w:rsid w:val="0066567A"/>
    <w:rsid w:val="0067135A"/>
    <w:rsid w:val="00672A26"/>
    <w:rsid w:val="00673376"/>
    <w:rsid w:val="00674C57"/>
    <w:rsid w:val="006755EE"/>
    <w:rsid w:val="00676D65"/>
    <w:rsid w:val="006773B0"/>
    <w:rsid w:val="006815F6"/>
    <w:rsid w:val="006860E7"/>
    <w:rsid w:val="0069644E"/>
    <w:rsid w:val="006A037C"/>
    <w:rsid w:val="006A0C75"/>
    <w:rsid w:val="006B0CD3"/>
    <w:rsid w:val="006B20A0"/>
    <w:rsid w:val="006B59B3"/>
    <w:rsid w:val="006B7467"/>
    <w:rsid w:val="006C2505"/>
    <w:rsid w:val="006D44ED"/>
    <w:rsid w:val="006F73AE"/>
    <w:rsid w:val="00703348"/>
    <w:rsid w:val="00710B27"/>
    <w:rsid w:val="00730DEE"/>
    <w:rsid w:val="007327A5"/>
    <w:rsid w:val="00735E17"/>
    <w:rsid w:val="007364A8"/>
    <w:rsid w:val="00736FDE"/>
    <w:rsid w:val="00754F10"/>
    <w:rsid w:val="0076047B"/>
    <w:rsid w:val="00760BE2"/>
    <w:rsid w:val="00762C8D"/>
    <w:rsid w:val="00772825"/>
    <w:rsid w:val="00773245"/>
    <w:rsid w:val="00790CC8"/>
    <w:rsid w:val="00796FE8"/>
    <w:rsid w:val="007A06DA"/>
    <w:rsid w:val="007B18AE"/>
    <w:rsid w:val="007B32BE"/>
    <w:rsid w:val="007B35DF"/>
    <w:rsid w:val="007B5182"/>
    <w:rsid w:val="007B5865"/>
    <w:rsid w:val="007D0348"/>
    <w:rsid w:val="007D2A62"/>
    <w:rsid w:val="007E2354"/>
    <w:rsid w:val="007F0FEC"/>
    <w:rsid w:val="007F7608"/>
    <w:rsid w:val="00802B23"/>
    <w:rsid w:val="00803FAB"/>
    <w:rsid w:val="008114DD"/>
    <w:rsid w:val="00813ADC"/>
    <w:rsid w:val="0081579B"/>
    <w:rsid w:val="00817959"/>
    <w:rsid w:val="00824BE4"/>
    <w:rsid w:val="008274DF"/>
    <w:rsid w:val="0083023E"/>
    <w:rsid w:val="008320F2"/>
    <w:rsid w:val="00833E84"/>
    <w:rsid w:val="00840B41"/>
    <w:rsid w:val="00856938"/>
    <w:rsid w:val="0087092C"/>
    <w:rsid w:val="008715EE"/>
    <w:rsid w:val="00873D34"/>
    <w:rsid w:val="008829D7"/>
    <w:rsid w:val="008849A7"/>
    <w:rsid w:val="00892ADA"/>
    <w:rsid w:val="00896D55"/>
    <w:rsid w:val="00897306"/>
    <w:rsid w:val="008A3D12"/>
    <w:rsid w:val="008A512B"/>
    <w:rsid w:val="008A7B48"/>
    <w:rsid w:val="008B0111"/>
    <w:rsid w:val="008B7DE5"/>
    <w:rsid w:val="008C1B62"/>
    <w:rsid w:val="008C224C"/>
    <w:rsid w:val="008C4D88"/>
    <w:rsid w:val="008D3EFC"/>
    <w:rsid w:val="008D7018"/>
    <w:rsid w:val="008E1DDD"/>
    <w:rsid w:val="008E366D"/>
    <w:rsid w:val="008F24D2"/>
    <w:rsid w:val="008F764F"/>
    <w:rsid w:val="00921953"/>
    <w:rsid w:val="00925133"/>
    <w:rsid w:val="00925601"/>
    <w:rsid w:val="00927C66"/>
    <w:rsid w:val="00932063"/>
    <w:rsid w:val="00935BA6"/>
    <w:rsid w:val="00940F9C"/>
    <w:rsid w:val="009449ED"/>
    <w:rsid w:val="0094612B"/>
    <w:rsid w:val="009553DE"/>
    <w:rsid w:val="009563F8"/>
    <w:rsid w:val="00956BF8"/>
    <w:rsid w:val="0096189A"/>
    <w:rsid w:val="00963F53"/>
    <w:rsid w:val="00972DC8"/>
    <w:rsid w:val="00975843"/>
    <w:rsid w:val="00975D89"/>
    <w:rsid w:val="00997C88"/>
    <w:rsid w:val="009A08D9"/>
    <w:rsid w:val="009A4A24"/>
    <w:rsid w:val="009A63DB"/>
    <w:rsid w:val="009C10F6"/>
    <w:rsid w:val="009C235D"/>
    <w:rsid w:val="009C4574"/>
    <w:rsid w:val="009D176B"/>
    <w:rsid w:val="009D2981"/>
    <w:rsid w:val="009F141C"/>
    <w:rsid w:val="00A00461"/>
    <w:rsid w:val="00A16945"/>
    <w:rsid w:val="00A2262D"/>
    <w:rsid w:val="00A226CC"/>
    <w:rsid w:val="00A26897"/>
    <w:rsid w:val="00A26B74"/>
    <w:rsid w:val="00A307FC"/>
    <w:rsid w:val="00A41145"/>
    <w:rsid w:val="00A45D45"/>
    <w:rsid w:val="00A51153"/>
    <w:rsid w:val="00A51ACB"/>
    <w:rsid w:val="00A57875"/>
    <w:rsid w:val="00A60E64"/>
    <w:rsid w:val="00A64B2C"/>
    <w:rsid w:val="00A6512F"/>
    <w:rsid w:val="00A70B93"/>
    <w:rsid w:val="00A82619"/>
    <w:rsid w:val="00A854B6"/>
    <w:rsid w:val="00A867CD"/>
    <w:rsid w:val="00A97D19"/>
    <w:rsid w:val="00A97EE9"/>
    <w:rsid w:val="00AA6107"/>
    <w:rsid w:val="00AB1DA1"/>
    <w:rsid w:val="00AB1DB2"/>
    <w:rsid w:val="00AB3B5A"/>
    <w:rsid w:val="00AB4AEA"/>
    <w:rsid w:val="00AB55F0"/>
    <w:rsid w:val="00AB719C"/>
    <w:rsid w:val="00AB73B0"/>
    <w:rsid w:val="00AC1D02"/>
    <w:rsid w:val="00AC36AB"/>
    <w:rsid w:val="00AD27EB"/>
    <w:rsid w:val="00AD2E47"/>
    <w:rsid w:val="00AD7914"/>
    <w:rsid w:val="00AE10A2"/>
    <w:rsid w:val="00AE15A3"/>
    <w:rsid w:val="00AE3590"/>
    <w:rsid w:val="00AE550C"/>
    <w:rsid w:val="00AE74E8"/>
    <w:rsid w:val="00AF18D6"/>
    <w:rsid w:val="00AF37CB"/>
    <w:rsid w:val="00B00985"/>
    <w:rsid w:val="00B023B2"/>
    <w:rsid w:val="00B12224"/>
    <w:rsid w:val="00B153C4"/>
    <w:rsid w:val="00B15DE5"/>
    <w:rsid w:val="00B357D1"/>
    <w:rsid w:val="00B509CC"/>
    <w:rsid w:val="00B52474"/>
    <w:rsid w:val="00B545E9"/>
    <w:rsid w:val="00B5462C"/>
    <w:rsid w:val="00B62E68"/>
    <w:rsid w:val="00B63C41"/>
    <w:rsid w:val="00B6768D"/>
    <w:rsid w:val="00B765FD"/>
    <w:rsid w:val="00B8248A"/>
    <w:rsid w:val="00B871ED"/>
    <w:rsid w:val="00B90DF0"/>
    <w:rsid w:val="00BA7DE3"/>
    <w:rsid w:val="00BB4323"/>
    <w:rsid w:val="00BB6E84"/>
    <w:rsid w:val="00BD056E"/>
    <w:rsid w:val="00BD219B"/>
    <w:rsid w:val="00BE1A73"/>
    <w:rsid w:val="00BE3A87"/>
    <w:rsid w:val="00BE4189"/>
    <w:rsid w:val="00BF31C0"/>
    <w:rsid w:val="00C01FB3"/>
    <w:rsid w:val="00C04110"/>
    <w:rsid w:val="00C04412"/>
    <w:rsid w:val="00C108D2"/>
    <w:rsid w:val="00C13DB3"/>
    <w:rsid w:val="00C21D4A"/>
    <w:rsid w:val="00C229EA"/>
    <w:rsid w:val="00C266F2"/>
    <w:rsid w:val="00C3067B"/>
    <w:rsid w:val="00C33730"/>
    <w:rsid w:val="00C5111D"/>
    <w:rsid w:val="00C60E7C"/>
    <w:rsid w:val="00C651EA"/>
    <w:rsid w:val="00C657EA"/>
    <w:rsid w:val="00C87C09"/>
    <w:rsid w:val="00C900C6"/>
    <w:rsid w:val="00C90465"/>
    <w:rsid w:val="00C9321D"/>
    <w:rsid w:val="00C9368E"/>
    <w:rsid w:val="00CA01F4"/>
    <w:rsid w:val="00CA70D2"/>
    <w:rsid w:val="00CB04D5"/>
    <w:rsid w:val="00CB7195"/>
    <w:rsid w:val="00CC623B"/>
    <w:rsid w:val="00CC7A25"/>
    <w:rsid w:val="00CC7C42"/>
    <w:rsid w:val="00CD7979"/>
    <w:rsid w:val="00CE49F9"/>
    <w:rsid w:val="00CE5865"/>
    <w:rsid w:val="00CF1A70"/>
    <w:rsid w:val="00CF4584"/>
    <w:rsid w:val="00D0273B"/>
    <w:rsid w:val="00D02E51"/>
    <w:rsid w:val="00D055D7"/>
    <w:rsid w:val="00D079D8"/>
    <w:rsid w:val="00D15880"/>
    <w:rsid w:val="00D17D41"/>
    <w:rsid w:val="00D20E87"/>
    <w:rsid w:val="00D33F6C"/>
    <w:rsid w:val="00D351C7"/>
    <w:rsid w:val="00D37BBE"/>
    <w:rsid w:val="00D37D36"/>
    <w:rsid w:val="00D41EFD"/>
    <w:rsid w:val="00D44752"/>
    <w:rsid w:val="00D476E9"/>
    <w:rsid w:val="00D51B5A"/>
    <w:rsid w:val="00D54CC4"/>
    <w:rsid w:val="00D57951"/>
    <w:rsid w:val="00D57D34"/>
    <w:rsid w:val="00D644BD"/>
    <w:rsid w:val="00D6751A"/>
    <w:rsid w:val="00D71873"/>
    <w:rsid w:val="00D71BE7"/>
    <w:rsid w:val="00D72FCA"/>
    <w:rsid w:val="00D74C65"/>
    <w:rsid w:val="00D75712"/>
    <w:rsid w:val="00D75BB5"/>
    <w:rsid w:val="00D86C45"/>
    <w:rsid w:val="00DA167E"/>
    <w:rsid w:val="00DA38E9"/>
    <w:rsid w:val="00DA68ED"/>
    <w:rsid w:val="00DB0CC2"/>
    <w:rsid w:val="00DB3489"/>
    <w:rsid w:val="00DB5283"/>
    <w:rsid w:val="00DB63BA"/>
    <w:rsid w:val="00DC02AC"/>
    <w:rsid w:val="00DC64E0"/>
    <w:rsid w:val="00DD1A2E"/>
    <w:rsid w:val="00DD4A52"/>
    <w:rsid w:val="00DE43C9"/>
    <w:rsid w:val="00DF53B1"/>
    <w:rsid w:val="00DF6D13"/>
    <w:rsid w:val="00E00BBB"/>
    <w:rsid w:val="00E27120"/>
    <w:rsid w:val="00E330AD"/>
    <w:rsid w:val="00E36FA4"/>
    <w:rsid w:val="00E571FE"/>
    <w:rsid w:val="00E7117A"/>
    <w:rsid w:val="00E73CBB"/>
    <w:rsid w:val="00E94493"/>
    <w:rsid w:val="00EA43C6"/>
    <w:rsid w:val="00EA5B58"/>
    <w:rsid w:val="00EA7C59"/>
    <w:rsid w:val="00EB2573"/>
    <w:rsid w:val="00EB5FB6"/>
    <w:rsid w:val="00EB6029"/>
    <w:rsid w:val="00EB7CB9"/>
    <w:rsid w:val="00EC0782"/>
    <w:rsid w:val="00EC1D43"/>
    <w:rsid w:val="00EE003C"/>
    <w:rsid w:val="00EE1098"/>
    <w:rsid w:val="00F00EB4"/>
    <w:rsid w:val="00F063AC"/>
    <w:rsid w:val="00F12681"/>
    <w:rsid w:val="00F27482"/>
    <w:rsid w:val="00F31CAF"/>
    <w:rsid w:val="00F32E17"/>
    <w:rsid w:val="00F44262"/>
    <w:rsid w:val="00F4552B"/>
    <w:rsid w:val="00F5437C"/>
    <w:rsid w:val="00F6271D"/>
    <w:rsid w:val="00F73A64"/>
    <w:rsid w:val="00F750B9"/>
    <w:rsid w:val="00F775EB"/>
    <w:rsid w:val="00F822CF"/>
    <w:rsid w:val="00F85BDE"/>
    <w:rsid w:val="00F9476F"/>
    <w:rsid w:val="00F96D29"/>
    <w:rsid w:val="00F975EF"/>
    <w:rsid w:val="00F97CC3"/>
    <w:rsid w:val="00FA173A"/>
    <w:rsid w:val="00FB1CE7"/>
    <w:rsid w:val="00FC0104"/>
    <w:rsid w:val="00FC4536"/>
    <w:rsid w:val="00FC516E"/>
    <w:rsid w:val="00FC6E6B"/>
    <w:rsid w:val="00FE2032"/>
    <w:rsid w:val="00FF29B6"/>
    <w:rsid w:val="00FF3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378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543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E2032"/>
    <w:rPr>
      <w:b/>
      <w:bCs/>
    </w:rPr>
  </w:style>
  <w:style w:type="paragraph" w:customStyle="1" w:styleId="Default">
    <w:name w:val="Default"/>
    <w:rsid w:val="00D57D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4E5C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5C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351C7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7B5865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F5437C"/>
    <w:rPr>
      <w:b/>
      <w:bCs/>
      <w:sz w:val="36"/>
      <w:szCs w:val="36"/>
    </w:rPr>
  </w:style>
  <w:style w:type="paragraph" w:customStyle="1" w:styleId="xmsonormal">
    <w:name w:val="x_msonormal"/>
    <w:basedOn w:val="Normal"/>
    <w:rsid w:val="009C457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37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FE2032"/>
    <w:rPr>
      <w:b/>
      <w:bCs/>
    </w:rPr>
  </w:style>
  <w:style w:type="paragraph" w:customStyle="1" w:styleId="Default">
    <w:name w:val="Default"/>
    <w:rsid w:val="00D57D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4E5C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5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6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2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1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3532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805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16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492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76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283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52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61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389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33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Djanira, divulgue, por favor</vt:lpstr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Djanira, divulgue, por favor</dc:title>
  <dc:creator>Djanira</dc:creator>
  <cp:lastModifiedBy>Djanira</cp:lastModifiedBy>
  <cp:revision>4</cp:revision>
  <dcterms:created xsi:type="dcterms:W3CDTF">2018-08-27T19:48:00Z</dcterms:created>
  <dcterms:modified xsi:type="dcterms:W3CDTF">2018-08-27T19:59:00Z</dcterms:modified>
</cp:coreProperties>
</file>