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147" w:right="12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147" w:right="12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147" w:right="124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Avaliação 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Carta de Intenção</w:t>
      </w:r>
    </w:p>
    <w:p w:rsidR="00000000" w:rsidDel="00000000" w:rsidP="00000000" w:rsidRDefault="00000000" w:rsidRPr="00000000" w14:paraId="00000004">
      <w:pPr>
        <w:spacing w:before="0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8"/>
        </w:tabs>
        <w:spacing w:after="0" w:before="0" w:line="240" w:lineRule="auto"/>
        <w:ind w:left="102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Candidata</w:t>
      </w:r>
      <w:r w:rsidDel="00000000" w:rsidR="00000000" w:rsidRPr="00000000">
        <w:rPr>
          <w:b w:val="1"/>
          <w:sz w:val="24"/>
          <w:szCs w:val="24"/>
          <w:rtl w:val="0"/>
        </w:rPr>
        <w:t xml:space="preserve">/o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_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8"/>
        </w:tabs>
        <w:spacing w:after="0" w:before="0" w:line="240" w:lineRule="auto"/>
        <w:ind w:left="102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132.0" w:type="dxa"/>
        <w:tblBorders>
          <w:top w:color="9f9f9f" w:space="0" w:sz="4" w:val="single"/>
          <w:left w:color="9f9f9f" w:space="0" w:sz="4" w:val="single"/>
          <w:bottom w:color="9f9f9f" w:space="0" w:sz="4" w:val="single"/>
          <w:right w:color="9f9f9f" w:space="0" w:sz="4" w:val="single"/>
          <w:insideH w:color="9f9f9f" w:space="0" w:sz="4" w:val="single"/>
          <w:insideV w:color="9f9f9f" w:space="0" w:sz="4" w:val="single"/>
        </w:tblBorders>
        <w:tblLayout w:type="fixed"/>
        <w:tblLook w:val="0000"/>
      </w:tblPr>
      <w:tblGrid>
        <w:gridCol w:w="780"/>
        <w:gridCol w:w="2775"/>
        <w:gridCol w:w="1710"/>
        <w:gridCol w:w="1710"/>
        <w:gridCol w:w="1590"/>
        <w:tblGridChange w:id="0">
          <w:tblGrid>
            <w:gridCol w:w="780"/>
            <w:gridCol w:w="2775"/>
            <w:gridCol w:w="1710"/>
            <w:gridCol w:w="1710"/>
            <w:gridCol w:w="159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vMerge w:val="restart"/>
            <w:tcBorders>
              <w:left w:color="efefe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</w:t>
            </w:r>
          </w:p>
        </w:tc>
        <w:tc>
          <w:tcPr>
            <w:vMerge w:val="restart"/>
            <w:tcBorders>
              <w:left w:color="9f9f9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  <w:tc>
          <w:tcPr>
            <w:gridSpan w:val="3"/>
            <w:tcBorders>
              <w:left w:color="9f9f9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6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Atendimento/Pontuação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continue"/>
            <w:tcBorders>
              <w:top w:color="9f9f9f" w:space="0" w:sz="12" w:val="single"/>
              <w:left w:color="efefe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9" w:right="8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Atende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09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Plenamente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1" w:right="7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Atende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01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Parcialmente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01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atende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(0.0)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9f9f9f" w:space="0" w:sz="12" w:val="single"/>
              <w:left w:color="efefe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6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e argumentação dos motivos que o/a levaram a candidatar-se ao curso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(0.5 ponto)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9f9f9f" w:space="0" w:sz="12" w:val="single"/>
              <w:left w:color="efefe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Relação estabelecida entre a experiência acadêmica e profissional e a ênfase do Curso (Gestão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a Sustentabilidade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(0.5 ponto)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tcBorders>
              <w:top w:color="9f9f9f" w:space="0" w:sz="12" w:val="single"/>
              <w:left w:color="efefef" w:space="0" w:sz="12" w:val="single"/>
              <w:bottom w:color="9f9f9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2A">
            <w:pPr>
              <w:ind w:left="11" w:right="-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tema da possível monografia/projeto de de conclusão de curso (0.5 ponto)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bottom w:color="9f9f9f" w:space="0" w:sz="12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bottom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1" w:hRule="atLeast"/>
          <w:tblHeader w:val="0"/>
        </w:trPr>
        <w:tc>
          <w:tcPr>
            <w:tcBorders>
              <w:top w:color="9f9f9f" w:space="0" w:sz="12" w:val="single"/>
              <w:left w:color="efefef" w:space="0" w:sz="12" w:val="single"/>
              <w:right w:color="9f9f9f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1">
            <w:pPr>
              <w:ind w:left="11" w:right="-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Qualidade do texto quanto aos aspectos de correção escrita (0.5 ponto)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9f9f9f" w:space="0" w:sz="12" w:val="single"/>
              <w:left w:color="efefe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left w:color="9f9f9f" w:space="0" w:sz="12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9f9f" w:space="0" w:sz="12" w:val="single"/>
              <w:right w:color="9f9f9f" w:space="0" w:sz="12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600" w:right="15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