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[Apresentador]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0 Lula fez essa propaganda usando uma manchete mentirosa publicada pelo site Uol, do grupo folha.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Primeiro, esses imóveis não pertencem a Jair Bolsonaro.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Segundo, nos registros oficiais, não está escrito dinheiro em espécie, está escrito moeda corrente, que é o termo que a maioria dos cartórios usa nas escrituras.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Nós estamos em época de eleição.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Não dá pra construir um futuro sólido como base na mentira.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Quem conhece a verdade </w:t>
      </w:r>
      <w:r w:rsidDel="00000000" w:rsidR="00000000" w:rsidRPr="00000000">
        <w:rPr>
          <w:rtl w:val="0"/>
        </w:rPr>
        <w:t xml:space="preserve">vota Bolsonaro!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