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2CE" w:rsidRPr="00EA42CE" w:rsidRDefault="00EA42CE">
      <w:pPr>
        <w:rPr>
          <w:sz w:val="36"/>
          <w:szCs w:val="36"/>
        </w:rPr>
      </w:pPr>
      <w:r w:rsidRPr="00EA42CE">
        <w:rPr>
          <w:sz w:val="36"/>
          <w:szCs w:val="36"/>
        </w:rPr>
        <w:t xml:space="preserve">Tecido Ósseo </w:t>
      </w:r>
    </w:p>
    <w:p w:rsidR="00CF1C93" w:rsidRDefault="00CF1C93">
      <w:r>
        <w:t>O tecido ósseo é u</w:t>
      </w:r>
      <w:r w:rsidR="00C3084E">
        <w:t>m</w:t>
      </w:r>
      <w:r>
        <w:t xml:space="preserve"> tipo de tecido conjuntivo, o que o diferencia dos demais tecidos é sua capacidade de mineralização que produz um tecido rígido capaz de fornecer suporte e proteção possuindo em sua composição fosfato de cálcio na forma de cristais de Hidroxiapatita</w:t>
      </w:r>
      <w:r w:rsidR="00C3084E">
        <w:t xml:space="preserve"> e colágeno</w:t>
      </w:r>
      <w:r>
        <w:t>. O mineral armazenado também serve de reserva para manter a regulação homeostática dos níveis sanguíneos de cálcio.</w:t>
      </w:r>
    </w:p>
    <w:p w:rsidR="005355AA" w:rsidRDefault="005C5C63">
      <w:r>
        <w:t xml:space="preserve">O principal tipo de colágeno encontrado na matriz óssea é o colágeno tipo I e em menor quantidade o de tipo V. Quanto a </w:t>
      </w:r>
      <w:r w:rsidR="0050305D">
        <w:t>outros tipos</w:t>
      </w:r>
      <w:r>
        <w:t xml:space="preserve"> de colágeno como</w:t>
      </w:r>
      <w:r w:rsidR="0050305D">
        <w:t xml:space="preserve"> </w:t>
      </w:r>
      <w:r>
        <w:t>III, XI e XIII encontramos apenas res</w:t>
      </w:r>
      <w:bookmarkStart w:id="0" w:name="_GoBack"/>
      <w:bookmarkEnd w:id="0"/>
      <w:r>
        <w:t>íduos. No total cerca de 90% da matriz é constituído de colágeno, os outr</w:t>
      </w:r>
      <w:r w:rsidR="005355AA">
        <w:t>os 10% são formado</w:t>
      </w:r>
      <w:r w:rsidR="009E6E48">
        <w:t>s por proteínas não colagenosas.</w:t>
      </w:r>
    </w:p>
    <w:p w:rsidR="005F67C7" w:rsidRPr="009E6E48" w:rsidRDefault="009E6E48" w:rsidP="009E6E48">
      <w:pPr>
        <w:rPr>
          <w:b/>
        </w:rPr>
      </w:pPr>
      <w:r>
        <w:t xml:space="preserve">               </w:t>
      </w:r>
      <w:r w:rsidR="005F67C7" w:rsidRPr="009E6E48">
        <w:rPr>
          <w:b/>
        </w:rPr>
        <w:t>O tecido ósseo possui duas classificações: osso compacto e osso esponjoso</w:t>
      </w:r>
    </w:p>
    <w:p w:rsidR="009E7A61" w:rsidRDefault="009E7A61" w:rsidP="009E7A61">
      <w:pPr>
        <w:pStyle w:val="PargrafodaLista"/>
      </w:pPr>
    </w:p>
    <w:p w:rsidR="009E7A61" w:rsidRDefault="009F078D" w:rsidP="009E7A61">
      <w:pPr>
        <w:pStyle w:val="PargrafodaLista"/>
      </w:pPr>
      <w:r>
        <w:t>Osso compacto: é</w:t>
      </w:r>
      <w:r w:rsidR="009E7A61">
        <w:t xml:space="preserve"> uma densa camada</w:t>
      </w:r>
      <w:r w:rsidR="00B7309F">
        <w:t xml:space="preserve"> que recobre osso esponjoso,</w:t>
      </w:r>
      <w:r w:rsidR="0094631E">
        <w:t xml:space="preserve"> o mesmo</w:t>
      </w:r>
      <w:proofErr w:type="gramStart"/>
      <w:r w:rsidR="0094631E">
        <w:t xml:space="preserve"> </w:t>
      </w:r>
      <w:r w:rsidR="00B7309F">
        <w:t xml:space="preserve"> </w:t>
      </w:r>
      <w:proofErr w:type="gramEnd"/>
      <w:r w:rsidR="00B7309F">
        <w:t>é revestido externamente por periósteo o qual possui células osteoprogê</w:t>
      </w:r>
      <w:r w:rsidR="0094631E">
        <w:t>nitoras que se diferenciaram</w:t>
      </w:r>
      <w:r w:rsidR="00B7309F">
        <w:t xml:space="preserve"> em osteoblastos para crescimento ou manutenção do tecido</w:t>
      </w:r>
      <w:r w:rsidR="0094631E">
        <w:t>. Quando maduro possui unidades estrutur</w:t>
      </w:r>
      <w:r w:rsidR="00061DAC">
        <w:t>ais</w:t>
      </w:r>
      <w:proofErr w:type="gramStart"/>
      <w:r w:rsidR="00061DAC">
        <w:t xml:space="preserve">  </w:t>
      </w:r>
      <w:proofErr w:type="gramEnd"/>
      <w:r w:rsidR="00061DAC">
        <w:t>chamadas de osteó</w:t>
      </w:r>
      <w:r w:rsidR="0094631E">
        <w:t xml:space="preserve">ns ou sistema de Havers. Os </w:t>
      </w:r>
      <w:r w:rsidR="00061DAC">
        <w:t>osteóns</w:t>
      </w:r>
      <w:r w:rsidR="0094631E">
        <w:t xml:space="preserve"> consistem em lamelas concêntricas de matriz óssea circundando um can</w:t>
      </w:r>
      <w:r>
        <w:t>al central chamado de canal de H</w:t>
      </w:r>
      <w:r w:rsidR="0094631E">
        <w:t>avers que contem o suprimento vascular e nervoso. Há também uma rede de canalículos em que há prol</w:t>
      </w:r>
      <w:r w:rsidR="00061DAC">
        <w:t xml:space="preserve">ongamento dos </w:t>
      </w:r>
      <w:r w:rsidR="00767975">
        <w:t>osteócitos.</w:t>
      </w:r>
      <w:r w:rsidR="00C3084E">
        <w:t xml:space="preserve"> O sistema de canalículos desemboca no canal osteonal</w:t>
      </w:r>
      <w:proofErr w:type="gramStart"/>
      <w:r w:rsidR="00C3084E">
        <w:t xml:space="preserve">  </w:t>
      </w:r>
      <w:proofErr w:type="gramEnd"/>
      <w:r w:rsidR="00C3084E">
        <w:t>que serve para troca de substancias entr</w:t>
      </w:r>
      <w:r w:rsidR="00061DAC">
        <w:t>e osteócitos e vasos sanguíneos.</w:t>
      </w:r>
    </w:p>
    <w:p w:rsidR="00061DAC" w:rsidRDefault="00061DAC" w:rsidP="009E7A61">
      <w:pPr>
        <w:pStyle w:val="PargrafodaLista"/>
      </w:pPr>
      <w:r>
        <w:t xml:space="preserve">Osso esponjoso: estando internamente ao osso compacto é composto por </w:t>
      </w:r>
      <w:r w:rsidR="00767975">
        <w:t>trabéculas (</w:t>
      </w:r>
      <w:r>
        <w:t>espiculas finas anastomosantes de tecido ósseo), medula e vasos sanguíneos</w:t>
      </w:r>
      <w:r w:rsidR="00383688">
        <w:t>.</w:t>
      </w:r>
      <w:r w:rsidR="00767975">
        <w:t xml:space="preserve"> Há também endosteo (osteoblastos) ao redor das trabéculas para manutenção do tecido.</w:t>
      </w:r>
    </w:p>
    <w:p w:rsidR="009F078D" w:rsidRDefault="009F078D" w:rsidP="009F078D">
      <w:pPr>
        <w:pStyle w:val="PargrafodaLista"/>
      </w:pPr>
      <w:r>
        <w:t>Nos ossos do corpo em que há articulação o</w:t>
      </w:r>
      <w:r w:rsidR="00731A3C">
        <w:t xml:space="preserve"> </w:t>
      </w:r>
      <w:r>
        <w:t>periósteo está presente apenas na parte mais longa do osso a qual denominamos de diáfise, enquanto que nas extremidades articulares, as quais</w:t>
      </w:r>
      <w:r w:rsidR="00731A3C">
        <w:t xml:space="preserve"> </w:t>
      </w:r>
      <w:r>
        <w:t xml:space="preserve">denominamos de epífises as quais são cobertas por cartilagem hialina e denominamos de metáfise a região entre epífise e diáfise. </w:t>
      </w:r>
    </w:p>
    <w:p w:rsidR="00EA42CE" w:rsidRDefault="00EA42CE" w:rsidP="009E7A61">
      <w:pPr>
        <w:pStyle w:val="PargrafodaLista"/>
      </w:pPr>
    </w:p>
    <w:p w:rsidR="00EA42CE" w:rsidRPr="00A24255" w:rsidRDefault="00EA42CE" w:rsidP="009E7A61">
      <w:pPr>
        <w:pStyle w:val="PargrafodaLista"/>
        <w:rPr>
          <w:b/>
        </w:rPr>
      </w:pPr>
      <w:r w:rsidRPr="00A24255">
        <w:rPr>
          <w:b/>
        </w:rPr>
        <w:t>Nutrição do tecido ósseo</w:t>
      </w:r>
    </w:p>
    <w:p w:rsidR="00EA42CE" w:rsidRDefault="00EA42CE" w:rsidP="009E7A61">
      <w:pPr>
        <w:pStyle w:val="PargrafodaLista"/>
      </w:pPr>
    </w:p>
    <w:p w:rsidR="00EA24EC" w:rsidRDefault="00EA42CE" w:rsidP="00A24255">
      <w:pPr>
        <w:pStyle w:val="PargrafodaLista"/>
      </w:pPr>
      <w:r>
        <w:t xml:space="preserve">A nutrição se dá pelos chamados Forames Nutridores que são aberturas no osso pelos quais passam vasos sanguíneos, veias e artérias. Ainda com relação </w:t>
      </w:r>
      <w:proofErr w:type="gramStart"/>
      <w:r>
        <w:t>a</w:t>
      </w:r>
      <w:proofErr w:type="gramEnd"/>
      <w:r>
        <w:t xml:space="preserve"> nutrição os </w:t>
      </w:r>
      <w:r w:rsidR="00EA24EC">
        <w:t>canais de Volkmann proporcionam a principal via de entrada para que os vasos atravessem o osso compacto. O tecido ósseo não apresenta vasos linfáticos apenas o periósteo para posterior drenagem.</w:t>
      </w:r>
    </w:p>
    <w:p w:rsidR="00A24255" w:rsidRDefault="00A24255" w:rsidP="00A24255">
      <w:pPr>
        <w:pStyle w:val="PargrafodaLista"/>
      </w:pPr>
    </w:p>
    <w:p w:rsidR="00EA24EC" w:rsidRPr="00A24255" w:rsidRDefault="00EA24EC" w:rsidP="00EA42CE">
      <w:pPr>
        <w:pStyle w:val="PargrafodaLista"/>
        <w:rPr>
          <w:b/>
        </w:rPr>
      </w:pPr>
      <w:r w:rsidRPr="00A24255">
        <w:rPr>
          <w:b/>
        </w:rPr>
        <w:t>Osso Imaturo</w:t>
      </w:r>
    </w:p>
    <w:p w:rsidR="00EA24EC" w:rsidRDefault="00EA24EC" w:rsidP="00EA42CE">
      <w:pPr>
        <w:pStyle w:val="PargrafodaLista"/>
      </w:pPr>
    </w:p>
    <w:p w:rsidR="00EA24EC" w:rsidRDefault="0010683E" w:rsidP="00EA42CE">
      <w:pPr>
        <w:pStyle w:val="PargrafodaLista"/>
      </w:pPr>
      <w:r>
        <w:t>Inicialmente vist</w:t>
      </w:r>
      <w:r w:rsidR="00731A3C">
        <w:t xml:space="preserve">o em fetos em desenvolvimento </w:t>
      </w:r>
      <w:r>
        <w:t>se diferencia do osso maduro em vários aspectos como: não possui</w:t>
      </w:r>
      <w:r w:rsidR="004E4532">
        <w:t>r</w:t>
      </w:r>
      <w:r>
        <w:t xml:space="preserve"> lamelas, possui um numero maior de células por área, as células não possuem organização,</w:t>
      </w:r>
      <w:r w:rsidR="004E4532">
        <w:t xml:space="preserve"> </w:t>
      </w:r>
      <w:r>
        <w:t xml:space="preserve">apresenta mais substância fundamental que o osso maduro, não esta intensamente mineralizado quando inicialmente formado e encontramos também osso imaturo em adultos quando há o processo de remodelação </w:t>
      </w:r>
      <w:r w:rsidR="004E4532">
        <w:t>óssea.</w:t>
      </w:r>
    </w:p>
    <w:p w:rsidR="004E4532" w:rsidRDefault="004E4532" w:rsidP="00EA42CE">
      <w:pPr>
        <w:pStyle w:val="PargrafodaLista"/>
      </w:pPr>
    </w:p>
    <w:p w:rsidR="004E4532" w:rsidRPr="00A24255" w:rsidRDefault="00304D36" w:rsidP="00EA42CE">
      <w:pPr>
        <w:pStyle w:val="PargrafodaLista"/>
        <w:rPr>
          <w:b/>
        </w:rPr>
      </w:pPr>
      <w:r w:rsidRPr="00A24255">
        <w:rPr>
          <w:b/>
        </w:rPr>
        <w:t xml:space="preserve">Células do Tecido Ósseo </w:t>
      </w:r>
    </w:p>
    <w:p w:rsidR="00304D36" w:rsidRDefault="00304D36" w:rsidP="00EA42CE">
      <w:pPr>
        <w:pStyle w:val="PargrafodaLista"/>
      </w:pPr>
    </w:p>
    <w:p w:rsidR="00304D36" w:rsidRDefault="00304D36" w:rsidP="00EA42CE">
      <w:pPr>
        <w:pStyle w:val="PargrafodaLista"/>
      </w:pPr>
      <w:r>
        <w:t>Cerca de cinco células estão associadas ao tecido ósseo: células progenitoras,</w:t>
      </w:r>
      <w:proofErr w:type="gramStart"/>
      <w:r>
        <w:t xml:space="preserve">  </w:t>
      </w:r>
      <w:proofErr w:type="gramEnd"/>
      <w:r>
        <w:t xml:space="preserve">osteoblastos, osteócitos, células de revestimento ósseo e osteoclastos, quatro dessas células </w:t>
      </w:r>
      <w:r w:rsidR="00BB5A75">
        <w:t>podem prover</w:t>
      </w:r>
      <w:r>
        <w:t xml:space="preserve"> de uma mesma célula básica exceto o osteoclasto que se origina de uma linhagem celular diferente.</w:t>
      </w:r>
    </w:p>
    <w:p w:rsidR="00304D36" w:rsidRDefault="00304D36" w:rsidP="00EA42CE">
      <w:pPr>
        <w:pStyle w:val="PargrafodaLista"/>
      </w:pPr>
    </w:p>
    <w:p w:rsidR="00BB5A75" w:rsidRPr="00360392" w:rsidRDefault="00AD2E6B" w:rsidP="00AD2E6B">
      <w:pPr>
        <w:pStyle w:val="PargrafodaLista"/>
        <w:numPr>
          <w:ilvl w:val="0"/>
          <w:numId w:val="2"/>
        </w:numPr>
        <w:rPr>
          <w:b/>
        </w:rPr>
      </w:pPr>
      <w:r>
        <w:lastRenderedPageBreak/>
        <w:t>Células</w:t>
      </w:r>
      <w:r w:rsidR="00BB5A75">
        <w:t xml:space="preserve"> osteoprogenitoras: são precursoras dos osteoblastos e são renováveis</w:t>
      </w:r>
      <w:r w:rsidR="00A24255">
        <w:t xml:space="preserve"> </w:t>
      </w:r>
      <w:r w:rsidR="00BB5A75">
        <w:t xml:space="preserve">derivadas de células tronco mesenquimais na medula óssea. </w:t>
      </w:r>
      <w:r w:rsidR="0022077B">
        <w:t xml:space="preserve">O fator que deflagra a diferenciação das células osteoprogenitoras é um fator de transcrição chamado </w:t>
      </w:r>
      <w:r w:rsidR="0022077B" w:rsidRPr="00AD2E6B">
        <w:rPr>
          <w:b/>
        </w:rPr>
        <w:t xml:space="preserve">Fator Alfa-1 de Ligação </w:t>
      </w:r>
      <w:r w:rsidR="00A24255" w:rsidRPr="00AD2E6B">
        <w:rPr>
          <w:b/>
        </w:rPr>
        <w:t>Central (</w:t>
      </w:r>
      <w:r w:rsidRPr="00AD2E6B">
        <w:rPr>
          <w:b/>
        </w:rPr>
        <w:t>CBFA1)</w:t>
      </w:r>
      <w:r>
        <w:rPr>
          <w:b/>
        </w:rPr>
        <w:t xml:space="preserve">. </w:t>
      </w:r>
      <w:r>
        <w:t>Esse tipo celular se encontra na superfície externa e interna dos ossos, periósteo e endosteo.</w:t>
      </w:r>
    </w:p>
    <w:p w:rsidR="009E6E48" w:rsidRDefault="004E08AF" w:rsidP="004E08AF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7090BE0F" wp14:editId="7BD826ED">
            <wp:extent cx="3587304" cy="17145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oblasto I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9629" cy="1715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AF" w:rsidRDefault="004E08AF" w:rsidP="004E08AF">
      <w:pPr>
        <w:pStyle w:val="Ttulo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Fonte: Marcos Paulino</w:t>
      </w:r>
    </w:p>
    <w:p w:rsidR="00360392" w:rsidRPr="00360392" w:rsidRDefault="00360392" w:rsidP="009E6E48">
      <w:pPr>
        <w:jc w:val="center"/>
        <w:rPr>
          <w:b/>
        </w:rPr>
      </w:pPr>
    </w:p>
    <w:p w:rsidR="00AD2E6B" w:rsidRDefault="00912656" w:rsidP="00AD2E6B">
      <w:pPr>
        <w:pStyle w:val="PargrafodaLista"/>
        <w:numPr>
          <w:ilvl w:val="0"/>
          <w:numId w:val="2"/>
        </w:numPr>
      </w:pPr>
      <w:r>
        <w:t>Osteoblasto: possui capacidade de se dividir, o mesmo produz tanto colágeno tipo I</w:t>
      </w:r>
      <w:r w:rsidR="00146A07">
        <w:t xml:space="preserve"> quanto proteínas da matriz óssea que constitui o osso desmineralizado inicial ou osteóide. As proteínas produzidas incluem proteínas do cálcio como a osteocalcina e osteonectina. Ele também é responsável</w:t>
      </w:r>
      <w:r w:rsidR="00272186">
        <w:t xml:space="preserve"> </w:t>
      </w:r>
      <w:r w:rsidR="00146A07">
        <w:t xml:space="preserve">pela calcificação da matriz e sua ativação se da por estímulos no osso maduro, por fim quando totalmente circundado por matriz sua atividade é reduzida tornando-se um </w:t>
      </w:r>
      <w:r w:rsidR="0078052D">
        <w:t>osteócitos.</w:t>
      </w:r>
    </w:p>
    <w:p w:rsidR="00360392" w:rsidRDefault="00360392" w:rsidP="00360392"/>
    <w:p w:rsidR="00360392" w:rsidRDefault="00360392" w:rsidP="00360392">
      <w:pPr>
        <w:jc w:val="center"/>
      </w:pPr>
      <w:r>
        <w:rPr>
          <w:noProof/>
          <w:lang w:eastAsia="pt-BR"/>
        </w:rPr>
        <w:drawing>
          <wp:inline distT="0" distB="0" distL="0" distR="0" wp14:anchorId="297DFD8F" wp14:editId="61752074">
            <wp:extent cx="3638550" cy="18002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ocit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262" cy="1801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AF" w:rsidRDefault="004E08AF" w:rsidP="004E08AF">
      <w:pPr>
        <w:pStyle w:val="Ttulo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Fonte: Marcos Paulino</w:t>
      </w:r>
    </w:p>
    <w:p w:rsidR="004E08AF" w:rsidRPr="004E08AF" w:rsidRDefault="004E08AF" w:rsidP="004E08AF"/>
    <w:p w:rsidR="00360392" w:rsidRDefault="0078052D" w:rsidP="00360392">
      <w:pPr>
        <w:pStyle w:val="PargrafodaLista"/>
        <w:numPr>
          <w:ilvl w:val="0"/>
          <w:numId w:val="2"/>
        </w:numPr>
      </w:pPr>
      <w:r w:rsidRPr="00360392">
        <w:rPr>
          <w:b/>
        </w:rPr>
        <w:t>Osteócito</w:t>
      </w:r>
      <w:r>
        <w:t>:</w:t>
      </w:r>
      <w:r w:rsidR="002C46D4">
        <w:t xml:space="preserve"> </w:t>
      </w:r>
      <w:r w:rsidR="00F25595">
        <w:t>é responsável pela manutenção da matriz, também pode sintetizar nova matriz e participa do processo de degradação da mesma</w:t>
      </w:r>
      <w:proofErr w:type="gramStart"/>
      <w:r w:rsidR="00F25595">
        <w:t xml:space="preserve"> </w:t>
      </w:r>
      <w:r>
        <w:t xml:space="preserve"> </w:t>
      </w:r>
      <w:proofErr w:type="gramEnd"/>
      <w:r w:rsidR="002C46D4">
        <w:t>para ajudar na manutenção da hemostasia do cálcio. Quando um osteócito morre por ocasião de algum trauma acaba por resultar em reabsorção da matriz óssea por atividade osteoclástica e em seguida remodelaç</w:t>
      </w:r>
      <w:r w:rsidR="00360392">
        <w:t>ão por atividade osteoblástica.</w:t>
      </w:r>
    </w:p>
    <w:p w:rsidR="00360392" w:rsidRDefault="00360392" w:rsidP="00193D89">
      <w:pPr>
        <w:jc w:val="center"/>
      </w:pPr>
      <w:r w:rsidRPr="00193D89">
        <w:rPr>
          <w:rStyle w:val="Forte"/>
          <w:noProof/>
          <w:lang w:eastAsia="pt-BR"/>
        </w:rPr>
        <w:lastRenderedPageBreak/>
        <w:drawing>
          <wp:inline distT="0" distB="0" distL="0" distR="0" wp14:anchorId="0ED0A60B" wp14:editId="757E9E41">
            <wp:extent cx="2143125" cy="20859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iosteo e endoste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134" cy="2086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3D89">
        <w:rPr>
          <w:noProof/>
          <w:lang w:eastAsia="pt-BR"/>
        </w:rPr>
        <w:drawing>
          <wp:inline distT="0" distB="0" distL="0" distR="0">
            <wp:extent cx="2425701" cy="20859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dosteo regiao medula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42" cy="208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D89" w:rsidRDefault="00A83EA0" w:rsidP="00501864">
      <w:pPr>
        <w:pStyle w:val="Ttulo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Fonte: Marcos Paulino</w:t>
      </w:r>
    </w:p>
    <w:p w:rsidR="00501864" w:rsidRPr="00501864" w:rsidRDefault="00501864" w:rsidP="00501864"/>
    <w:p w:rsidR="009E6E48" w:rsidRDefault="002C46D4" w:rsidP="009E6E48">
      <w:pPr>
        <w:pStyle w:val="PargrafodaLista"/>
        <w:numPr>
          <w:ilvl w:val="0"/>
          <w:numId w:val="2"/>
        </w:numPr>
      </w:pPr>
      <w:r w:rsidRPr="00360392">
        <w:rPr>
          <w:b/>
        </w:rPr>
        <w:t xml:space="preserve">Células de revestimento </w:t>
      </w:r>
      <w:r w:rsidR="0084621C" w:rsidRPr="00360392">
        <w:rPr>
          <w:b/>
        </w:rPr>
        <w:t>ósseo</w:t>
      </w:r>
      <w:r w:rsidR="0084621C">
        <w:t>: São encontradas nas superfícies ósseas externas</w:t>
      </w:r>
      <w:proofErr w:type="gramStart"/>
      <w:r w:rsidR="0084621C">
        <w:t xml:space="preserve">  </w:t>
      </w:r>
      <w:proofErr w:type="gramEnd"/>
      <w:r w:rsidR="0084621C">
        <w:t>sendo chamadas de células periosteais e células endosteais , há junções comunicantes onde os prolongamentos das células de revestimento fazem contato umas com as outras. Acredita-se que funcionem na manutenção e suporte nutricional dos osteócitos e regulem o movimento do cálcio e fosfato para dentro e fora do osso.</w:t>
      </w:r>
    </w:p>
    <w:p w:rsidR="009E6E48" w:rsidRDefault="009E6E48" w:rsidP="009E6E48"/>
    <w:p w:rsidR="009E6E48" w:rsidRDefault="004E08AF" w:rsidP="009E6E48">
      <w:pPr>
        <w:jc w:val="center"/>
      </w:pPr>
      <w:r>
        <w:rPr>
          <w:noProof/>
          <w:lang w:eastAsia="pt-BR"/>
        </w:rPr>
        <w:drawing>
          <wp:inline distT="0" distB="0" distL="0" distR="0">
            <wp:extent cx="3505200" cy="17335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eoclasto com seta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08AF" w:rsidRDefault="004E08AF" w:rsidP="004E08AF">
      <w:pPr>
        <w:pStyle w:val="Ttulo1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Fonte: Marcos Paulino</w:t>
      </w:r>
    </w:p>
    <w:p w:rsidR="004E08AF" w:rsidRPr="004E08AF" w:rsidRDefault="004E08AF" w:rsidP="004E08AF"/>
    <w:p w:rsidR="00360392" w:rsidRDefault="0084621C" w:rsidP="009E6E48">
      <w:pPr>
        <w:pStyle w:val="PargrafodaLista"/>
        <w:numPr>
          <w:ilvl w:val="0"/>
          <w:numId w:val="2"/>
        </w:numPr>
      </w:pPr>
      <w:r>
        <w:t>Osteoclastos:</w:t>
      </w:r>
      <w:r w:rsidR="00621206">
        <w:t xml:space="preserve"> estão presentes em áreas onde o osso esta sendo removido. </w:t>
      </w:r>
      <w:r w:rsidR="005F3E4A">
        <w:t>Derivam da fusão de</w:t>
      </w:r>
      <w:r w:rsidR="00621206">
        <w:t xml:space="preserve"> células progenitoras hematopoiéticas mononucleares</w:t>
      </w:r>
      <w:r w:rsidR="005F3E4A">
        <w:t xml:space="preserve"> sendo formadas através de intima associação com as células do estroma na medula óssea, essas células secretam citocinas essenciais para a</w:t>
      </w:r>
      <w:r w:rsidR="00387881">
        <w:t xml:space="preserve"> diferenciação dos osteoclastos.</w:t>
      </w:r>
    </w:p>
    <w:p w:rsidR="009E6E48" w:rsidRDefault="009E6E48" w:rsidP="00193D89">
      <w:pPr>
        <w:pStyle w:val="PargrafodaLista"/>
        <w:ind w:left="1080"/>
      </w:pPr>
    </w:p>
    <w:p w:rsidR="00193D89" w:rsidRDefault="00193D89" w:rsidP="00193D89">
      <w:pPr>
        <w:pStyle w:val="PargrafodaLista"/>
        <w:ind w:left="1080"/>
      </w:pPr>
    </w:p>
    <w:p w:rsidR="00193D89" w:rsidRPr="009E6E48" w:rsidRDefault="00193D89" w:rsidP="00193D89">
      <w:pPr>
        <w:pStyle w:val="PargrafodaLista"/>
        <w:ind w:left="1080"/>
      </w:pPr>
    </w:p>
    <w:p w:rsidR="00DA04DA" w:rsidRDefault="00DA04DA" w:rsidP="00DA04DA">
      <w:pPr>
        <w:pStyle w:val="PargrafodaLista"/>
        <w:ind w:left="1080"/>
        <w:rPr>
          <w:b/>
        </w:rPr>
      </w:pPr>
      <w:r w:rsidRPr="000A7AFA">
        <w:rPr>
          <w:b/>
        </w:rPr>
        <w:t xml:space="preserve">Ossificação Intramembranosa </w:t>
      </w:r>
    </w:p>
    <w:p w:rsidR="00DA04DA" w:rsidRDefault="00D51A84" w:rsidP="00387881">
      <w:pPr>
        <w:pStyle w:val="PargrafodaLista"/>
        <w:ind w:left="1080"/>
      </w:pPr>
      <w:r>
        <w:t>As células mesenquimais alongadas migram e se agregam em áreas especificas onde o osso deve se formar. Essa condensação de células no tecido mesenquimal</w:t>
      </w:r>
      <w:r w:rsidR="00272186">
        <w:t xml:space="preserve"> </w:t>
      </w:r>
      <w:r>
        <w:t xml:space="preserve">inicia o processo de ossificação </w:t>
      </w:r>
      <w:r w:rsidR="000E0F0D">
        <w:t>Intramembranosa. As células mesenquimais se diferenciam em células osteoprogenitoras expressando o fator de transcrição cbfa1</w:t>
      </w:r>
      <w:r w:rsidR="00D17BD0">
        <w:t xml:space="preserve"> que leva a imediata expressão de genes característicos do osteoblasto.</w:t>
      </w:r>
    </w:p>
    <w:p w:rsidR="00387881" w:rsidRDefault="00387881" w:rsidP="00387881">
      <w:pPr>
        <w:pStyle w:val="PargrafodaLista"/>
        <w:ind w:left="1080"/>
      </w:pPr>
    </w:p>
    <w:p w:rsidR="00387881" w:rsidRDefault="00387881" w:rsidP="00387881">
      <w:pPr>
        <w:pStyle w:val="PargrafodaLista"/>
        <w:ind w:left="1080"/>
      </w:pPr>
    </w:p>
    <w:p w:rsidR="00E01794" w:rsidRDefault="00E01794" w:rsidP="00387881">
      <w:pPr>
        <w:pStyle w:val="PargrafodaLista"/>
        <w:ind w:left="1080"/>
        <w:rPr>
          <w:b/>
        </w:rPr>
      </w:pPr>
    </w:p>
    <w:p w:rsidR="00387881" w:rsidRPr="00534B2A" w:rsidRDefault="00534B2A" w:rsidP="00387881">
      <w:pPr>
        <w:pStyle w:val="PargrafodaLista"/>
        <w:ind w:left="1080"/>
        <w:rPr>
          <w:b/>
        </w:rPr>
      </w:pPr>
      <w:r w:rsidRPr="00534B2A">
        <w:rPr>
          <w:b/>
        </w:rPr>
        <w:lastRenderedPageBreak/>
        <w:t>Ossificação Endocondral</w:t>
      </w:r>
    </w:p>
    <w:p w:rsidR="00534B2A" w:rsidRDefault="007038D8" w:rsidP="00387881">
      <w:pPr>
        <w:pStyle w:val="PargrafodaLista"/>
        <w:ind w:left="1080"/>
      </w:pPr>
      <w:r>
        <w:t>Começa com a agregação e proliferação de células mesenquimais no sitio futuro do osso</w:t>
      </w:r>
      <w:r w:rsidR="00272186">
        <w:t xml:space="preserve"> com um modelo de cartilagem hialina no formato futuro do osso</w:t>
      </w:r>
      <w:r>
        <w:t xml:space="preserve"> sob influência de diferentes fatores de crescimento fibroblástico (FGF) e das BMP. As células mesenquimais inicialmente expressam colágeno do tipo II e se diferencia m em condroblastos que produzem matriz cartilaginosa. Quando estabelecido o modelo cartilaginoso seu crescimento é intersticial e aposicional sendo que o aumento do comprimento da cartilagem é atribuído </w:t>
      </w:r>
      <w:r w:rsidR="000A7AFA">
        <w:t>ao crescimento intersticial e o aumento de sua largura é consequência da matriz cartilaginosa produzida pelos novos condrócitos que derivam do pericôndrio.</w:t>
      </w:r>
    </w:p>
    <w:p w:rsidR="00E01794" w:rsidRDefault="00E01794" w:rsidP="00E01794">
      <w:pPr>
        <w:pStyle w:val="PargrafodaLista"/>
        <w:ind w:left="1080"/>
      </w:pPr>
    </w:p>
    <w:p w:rsidR="00E01794" w:rsidRDefault="00E01794" w:rsidP="00E01794">
      <w:pPr>
        <w:pStyle w:val="PargrafodaLista"/>
        <w:ind w:left="1080"/>
      </w:pPr>
    </w:p>
    <w:p w:rsidR="00E01794" w:rsidRDefault="00E01794" w:rsidP="00E01794">
      <w:pPr>
        <w:pStyle w:val="PargrafodaLista"/>
        <w:ind w:left="1080"/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F718C9" w:rsidRDefault="00F718C9" w:rsidP="00E01794">
      <w:pPr>
        <w:pStyle w:val="PargrafodaLista"/>
        <w:ind w:left="1080"/>
        <w:rPr>
          <w:b/>
          <w:sz w:val="28"/>
        </w:rPr>
      </w:pPr>
    </w:p>
    <w:p w:rsidR="00E01794" w:rsidRPr="00E01794" w:rsidRDefault="00E01794" w:rsidP="00E01794">
      <w:pPr>
        <w:pStyle w:val="PargrafodaLista"/>
        <w:ind w:left="1080"/>
        <w:rPr>
          <w:b/>
          <w:sz w:val="28"/>
        </w:rPr>
      </w:pPr>
      <w:r w:rsidRPr="00E01794">
        <w:rPr>
          <w:b/>
          <w:sz w:val="28"/>
        </w:rPr>
        <w:t>@historep 2019</w:t>
      </w:r>
      <w:r w:rsidRPr="00E01794">
        <w:rPr>
          <w:b/>
          <w:sz w:val="28"/>
        </w:rPr>
        <w:t>/1</w:t>
      </w:r>
    </w:p>
    <w:p w:rsidR="00E01794" w:rsidRPr="00E01794" w:rsidRDefault="00E01794" w:rsidP="00E01794">
      <w:pPr>
        <w:pStyle w:val="PargrafodaLista"/>
        <w:ind w:left="1080"/>
        <w:rPr>
          <w:b/>
          <w:sz w:val="28"/>
        </w:rPr>
      </w:pPr>
      <w:r w:rsidRPr="00E01794">
        <w:rPr>
          <w:b/>
          <w:sz w:val="28"/>
        </w:rPr>
        <w:t>UNIVERSIDADE FEDERAL DE PELOTAS</w:t>
      </w:r>
    </w:p>
    <w:p w:rsidR="00E01794" w:rsidRPr="00E01794" w:rsidRDefault="00E01794" w:rsidP="00E01794">
      <w:pPr>
        <w:pStyle w:val="PargrafodaLista"/>
        <w:ind w:left="1080"/>
        <w:rPr>
          <w:b/>
          <w:sz w:val="28"/>
        </w:rPr>
      </w:pPr>
      <w:r w:rsidRPr="00E01794">
        <w:rPr>
          <w:b/>
          <w:sz w:val="28"/>
        </w:rPr>
        <w:t>DEPARTAMENTO DE MORFOLOGIA</w:t>
      </w:r>
    </w:p>
    <w:p w:rsidR="00E01794" w:rsidRDefault="00E01794" w:rsidP="00E01794">
      <w:pPr>
        <w:pStyle w:val="PargrafodaLista"/>
        <w:ind w:left="1080"/>
        <w:rPr>
          <w:b/>
          <w:sz w:val="28"/>
        </w:rPr>
      </w:pPr>
      <w:r w:rsidRPr="00E01794">
        <w:rPr>
          <w:b/>
          <w:sz w:val="28"/>
        </w:rPr>
        <w:t>FACULDADE DE ODONTOLOGIA</w:t>
      </w:r>
    </w:p>
    <w:p w:rsidR="00E01794" w:rsidRPr="00E01794" w:rsidRDefault="00E01794" w:rsidP="00E01794">
      <w:pPr>
        <w:pStyle w:val="PargrafodaLista"/>
        <w:spacing w:line="240" w:lineRule="auto"/>
        <w:ind w:left="1080"/>
        <w:rPr>
          <w:b/>
          <w:sz w:val="28"/>
        </w:rPr>
      </w:pPr>
    </w:p>
    <w:p w:rsidR="00E01794" w:rsidRPr="00E01794" w:rsidRDefault="00E01794" w:rsidP="00E01794">
      <w:pPr>
        <w:pStyle w:val="PargrafodaLista"/>
        <w:spacing w:line="480" w:lineRule="auto"/>
        <w:ind w:left="1080"/>
      </w:pPr>
      <w:r>
        <w:t>Marcos Paulino da Silva</w:t>
      </w:r>
    </w:p>
    <w:p w:rsidR="000A7AFA" w:rsidRPr="00E01794" w:rsidRDefault="00E01794" w:rsidP="00E01794">
      <w:pPr>
        <w:pStyle w:val="PargrafodaLista"/>
        <w:ind w:left="1080"/>
        <w:rPr>
          <w:b/>
        </w:rPr>
      </w:pPr>
      <w:r w:rsidRPr="00E01794">
        <w:rPr>
          <w:b/>
        </w:rPr>
        <w:t xml:space="preserve">Orientação de Sandra Mara da Encarnação </w:t>
      </w:r>
      <w:proofErr w:type="spellStart"/>
      <w:r w:rsidRPr="00E01794">
        <w:rPr>
          <w:b/>
        </w:rPr>
        <w:t>Fiala</w:t>
      </w:r>
      <w:proofErr w:type="spellEnd"/>
      <w:r w:rsidRPr="00E01794">
        <w:rPr>
          <w:b/>
        </w:rPr>
        <w:t xml:space="preserve"> </w:t>
      </w:r>
      <w:proofErr w:type="spellStart"/>
      <w:r w:rsidRPr="00E01794">
        <w:rPr>
          <w:b/>
        </w:rPr>
        <w:t>Rechsteiner</w:t>
      </w:r>
      <w:proofErr w:type="spellEnd"/>
    </w:p>
    <w:sectPr w:rsidR="000A7AFA" w:rsidRPr="00E01794" w:rsidSect="00E017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949" w:rsidRDefault="00290949" w:rsidP="00193D89">
      <w:pPr>
        <w:spacing w:after="0" w:line="240" w:lineRule="auto"/>
      </w:pPr>
      <w:r>
        <w:separator/>
      </w:r>
    </w:p>
  </w:endnote>
  <w:endnote w:type="continuationSeparator" w:id="0">
    <w:p w:rsidR="00290949" w:rsidRDefault="00290949" w:rsidP="0019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949" w:rsidRDefault="00290949" w:rsidP="00193D89">
      <w:pPr>
        <w:spacing w:after="0" w:line="240" w:lineRule="auto"/>
      </w:pPr>
      <w:r>
        <w:separator/>
      </w:r>
    </w:p>
  </w:footnote>
  <w:footnote w:type="continuationSeparator" w:id="0">
    <w:p w:rsidR="00290949" w:rsidRDefault="00290949" w:rsidP="0019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566"/>
    <w:multiLevelType w:val="hybridMultilevel"/>
    <w:tmpl w:val="1334F3D6"/>
    <w:lvl w:ilvl="0" w:tplc="35A8FA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B2DB8"/>
    <w:multiLevelType w:val="hybridMultilevel"/>
    <w:tmpl w:val="67963B60"/>
    <w:lvl w:ilvl="0" w:tplc="0F8E13F8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93"/>
    <w:rsid w:val="00061DAC"/>
    <w:rsid w:val="000A7AFA"/>
    <w:rsid w:val="000E0F0D"/>
    <w:rsid w:val="000E639B"/>
    <w:rsid w:val="0010683E"/>
    <w:rsid w:val="00146A07"/>
    <w:rsid w:val="00193D89"/>
    <w:rsid w:val="001E1E02"/>
    <w:rsid w:val="0022077B"/>
    <w:rsid w:val="00230877"/>
    <w:rsid w:val="00272186"/>
    <w:rsid w:val="00290949"/>
    <w:rsid w:val="002C46D4"/>
    <w:rsid w:val="00304D36"/>
    <w:rsid w:val="00360392"/>
    <w:rsid w:val="00383688"/>
    <w:rsid w:val="00387881"/>
    <w:rsid w:val="00410C88"/>
    <w:rsid w:val="004E08AF"/>
    <w:rsid w:val="004E4532"/>
    <w:rsid w:val="00501864"/>
    <w:rsid w:val="0050305D"/>
    <w:rsid w:val="00534B2A"/>
    <w:rsid w:val="005355AA"/>
    <w:rsid w:val="005C5C63"/>
    <w:rsid w:val="005F3E4A"/>
    <w:rsid w:val="005F67C7"/>
    <w:rsid w:val="00621206"/>
    <w:rsid w:val="006E2D9E"/>
    <w:rsid w:val="007038D8"/>
    <w:rsid w:val="00731A3C"/>
    <w:rsid w:val="00767975"/>
    <w:rsid w:val="0078052D"/>
    <w:rsid w:val="00800168"/>
    <w:rsid w:val="0084621C"/>
    <w:rsid w:val="00912656"/>
    <w:rsid w:val="0094631E"/>
    <w:rsid w:val="00967DF3"/>
    <w:rsid w:val="009A4065"/>
    <w:rsid w:val="009E6E48"/>
    <w:rsid w:val="009E7A61"/>
    <w:rsid w:val="009F078D"/>
    <w:rsid w:val="00A24255"/>
    <w:rsid w:val="00A83EA0"/>
    <w:rsid w:val="00AD2E6B"/>
    <w:rsid w:val="00B55364"/>
    <w:rsid w:val="00B7309F"/>
    <w:rsid w:val="00B808AE"/>
    <w:rsid w:val="00BB5A75"/>
    <w:rsid w:val="00BD00E4"/>
    <w:rsid w:val="00C3084E"/>
    <w:rsid w:val="00CF1C93"/>
    <w:rsid w:val="00CF4CC0"/>
    <w:rsid w:val="00D17BD0"/>
    <w:rsid w:val="00D24881"/>
    <w:rsid w:val="00D3167F"/>
    <w:rsid w:val="00D51A84"/>
    <w:rsid w:val="00DA04DA"/>
    <w:rsid w:val="00E01794"/>
    <w:rsid w:val="00E16505"/>
    <w:rsid w:val="00EA24EC"/>
    <w:rsid w:val="00EA42CE"/>
    <w:rsid w:val="00EC27B3"/>
    <w:rsid w:val="00F25595"/>
    <w:rsid w:val="00F718C9"/>
    <w:rsid w:val="00FE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3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5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39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D8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3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3D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3D8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93D8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3D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3D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3D89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93D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93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55A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6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039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193D89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193D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193D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193D8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193D8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93D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93D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93D89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93D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E13BB-EE1C-4163-ABA1-1688BA7A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1017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Convidado</dc:creator>
  <cp:lastModifiedBy>Convidado</cp:lastModifiedBy>
  <cp:revision>20</cp:revision>
  <dcterms:created xsi:type="dcterms:W3CDTF">2019-05-15T12:00:00Z</dcterms:created>
  <dcterms:modified xsi:type="dcterms:W3CDTF">2019-05-30T12:32:00Z</dcterms:modified>
</cp:coreProperties>
</file>