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689" w:rsidRPr="000B3689" w:rsidRDefault="002F2241" w:rsidP="009C05B8">
      <w:pPr>
        <w:pStyle w:val="NormalWeb"/>
        <w:shd w:val="clear" w:color="auto" w:fill="FFFFFF"/>
        <w:spacing w:before="240" w:beforeAutospacing="0" w:after="0" w:afterAutospacing="0"/>
        <w:jc w:val="both"/>
        <w:textAlignment w:val="baseline"/>
      </w:pPr>
      <w:bookmarkStart w:id="0" w:name="_GoBack"/>
      <w:r w:rsidRPr="000B3689">
        <w:t xml:space="preserve">STF </w:t>
      </w:r>
      <w:r w:rsidR="00812756" w:rsidRPr="000B3689">
        <w:t>(ADPF 1299, Notícias STF 31</w:t>
      </w:r>
      <w:r w:rsidR="00812756" w:rsidRPr="000B3689">
        <w:t>.12.2026</w:t>
      </w:r>
      <w:r w:rsidR="00812756" w:rsidRPr="000B3689">
        <w:t xml:space="preserve">) </w:t>
      </w:r>
      <w:r w:rsidR="00812756" w:rsidRPr="000B3689">
        <w:t>Partido questiona no STF aumento de tarifa de pedágio na BR-040</w:t>
      </w:r>
      <w:r w:rsidR="00812756" w:rsidRPr="000B3689">
        <w:t xml:space="preserve"> - </w:t>
      </w:r>
      <w:r w:rsidR="00812756" w:rsidRPr="000B3689">
        <w:rPr>
          <w:spacing w:val="-5"/>
        </w:rPr>
        <w:t>Segundo o PRD, não houve melhorias que justifiquem a alta da tarifa entre Minas Gerais e Rio de Janeiro</w:t>
      </w:r>
      <w:r w:rsidR="00812756" w:rsidRPr="000B3689">
        <w:rPr>
          <w:spacing w:val="-5"/>
        </w:rPr>
        <w:t xml:space="preserve"> -</w:t>
      </w:r>
      <w:r w:rsidR="000B3689" w:rsidRPr="000B3689">
        <w:t xml:space="preserve"> </w:t>
      </w:r>
      <w:r w:rsidR="00812756" w:rsidRPr="000B3689">
        <w:t>O Partido Renovação Democrática (PRD) acionou o Supremo Tribunal Federal (STF) contra atos da Agência Nacional de Transportes Terrestres (ANTT) que autorizaram o aumento do pedágio em três trechos da BR-040 no Rio de Janeiro e de Minas Gerais. A Arguição de Descumprimento de Preceito Fundamental </w:t>
      </w:r>
      <w:r w:rsidR="00812756" w:rsidRPr="000B3689">
        <w:rPr>
          <w:rStyle w:val="Forte"/>
          <w:b w:val="0"/>
        </w:rPr>
        <w:t>(ADPF) 1299</w:t>
      </w:r>
      <w:r w:rsidR="00812756" w:rsidRPr="000B3689">
        <w:t xml:space="preserve"> foi distribuída à ministra </w:t>
      </w:r>
      <w:proofErr w:type="spellStart"/>
      <w:r w:rsidR="00812756" w:rsidRPr="000B3689">
        <w:t>Cármen</w:t>
      </w:r>
      <w:proofErr w:type="spellEnd"/>
      <w:r w:rsidR="00812756" w:rsidRPr="000B3689">
        <w:t xml:space="preserve"> Lúcia.</w:t>
      </w:r>
      <w:r w:rsidR="000B3689" w:rsidRPr="000B3689">
        <w:t xml:space="preserve"> </w:t>
      </w:r>
      <w:r w:rsidR="00812756" w:rsidRPr="000B3689">
        <w:t>Em novembro, após a rodovia passar à administração de uma nova concessionária, a tarifa básica do pedágio no trecho que conecta municípios da Baixada Fluminense e da Região Serrana do Rio de Janeiro e da Zona da Mata mineira subiu de R$ 14,50 para R$ 21. O partido alega que o reajuste ocorreu mesmo após o anúncio de que o valor seria reduzido para R$ 12,50.</w:t>
      </w:r>
      <w:r w:rsidR="000B3689" w:rsidRPr="000B3689">
        <w:t xml:space="preserve"> </w:t>
      </w:r>
      <w:r w:rsidR="00812756" w:rsidRPr="000B3689">
        <w:t>Segundo o PRD, não houve investimentos executados no novo regime contratual nem melhorias no serviço que justifiquem o aumento, e as deliberações da ANTT violam os princípios constitucionais da proporcionalidade e da razoabilidade. O partido sustenta, ainda, que a medida compromete a renda de famílias mineiras que dependem da rodovia para acessar trabalho e serviços na região metropolitana do Rio de Janeiro.</w:t>
      </w:r>
    </w:p>
    <w:bookmarkEnd w:id="0"/>
    <w:p w:rsidR="009C05B8" w:rsidRPr="009C05B8" w:rsidRDefault="00F633B8" w:rsidP="009C05B8">
      <w:pPr>
        <w:pStyle w:val="NormalWeb"/>
        <w:shd w:val="clear" w:color="auto" w:fill="FFFFFF"/>
        <w:spacing w:before="240" w:beforeAutospacing="0" w:after="0" w:afterAutospacing="0"/>
        <w:jc w:val="both"/>
        <w:textAlignment w:val="baseline"/>
      </w:pPr>
      <w:r>
        <w:t xml:space="preserve">STF </w:t>
      </w:r>
      <w:r w:rsidR="009C05B8" w:rsidRPr="009C05B8">
        <w:t>(ADI 7656, in Informativo STF 1202</w:t>
      </w:r>
      <w:r w:rsidR="006716E6">
        <w:t xml:space="preserve"> e Notícias STF 30.12.2026</w:t>
      </w:r>
      <w:r w:rsidR="009C05B8" w:rsidRPr="009C05B8">
        <w:t xml:space="preserve">) </w:t>
      </w:r>
      <w:r w:rsidR="009C05B8" w:rsidRPr="009C05B8">
        <w:rPr>
          <w:color w:val="000000"/>
        </w:rPr>
        <w:t>DIREITO CONSTITUCIONAL – REPARTIÇÃO DE COMPETÊNCIAS; RECURSOS HÍDRICOS; ENERGIA ELÉTRICA; EXPLORAÇÃO DE SERVIÇOS PÚBLICOS</w:t>
      </w:r>
      <w:r w:rsidR="009C05B8">
        <w:rPr>
          <w:color w:val="000000"/>
          <w:sz w:val="26"/>
          <w:szCs w:val="26"/>
        </w:rPr>
        <w:t xml:space="preserve"> - </w:t>
      </w:r>
      <w:bookmarkStart w:id="1" w:name="Aproveitamento"/>
      <w:r w:rsidR="009C05B8" w:rsidRPr="009C05B8">
        <w:rPr>
          <w:bCs/>
          <w:iCs/>
          <w:color w:val="000000"/>
        </w:rPr>
        <w:t>Aproveitamento energético de cursos de água à luz do regime constitucional de repartição de competências</w:t>
      </w:r>
      <w:bookmarkEnd w:id="1"/>
      <w:r w:rsidR="009C05B8">
        <w:rPr>
          <w:bCs/>
          <w:iCs/>
          <w:color w:val="000000"/>
        </w:rPr>
        <w:t xml:space="preserve"> – </w:t>
      </w:r>
      <w:r w:rsidR="009C05B8" w:rsidRPr="009C05B8">
        <w:rPr>
          <w:bCs/>
          <w:color w:val="000000"/>
        </w:rPr>
        <w:t xml:space="preserve">São inconstitucionais — por violar as competências administrativa e legislativa da União para dispor sobre águas e energia elétrica (CF/1988, </w:t>
      </w:r>
      <w:proofErr w:type="spellStart"/>
      <w:r w:rsidR="009C05B8" w:rsidRPr="009C05B8">
        <w:rPr>
          <w:bCs/>
          <w:color w:val="000000"/>
        </w:rPr>
        <w:t>arts</w:t>
      </w:r>
      <w:proofErr w:type="spellEnd"/>
      <w:r w:rsidR="009C05B8" w:rsidRPr="009C05B8">
        <w:rPr>
          <w:bCs/>
          <w:color w:val="000000"/>
        </w:rPr>
        <w:t>. 20, VIII; 21, XII, </w:t>
      </w:r>
      <w:r w:rsidR="009C05B8" w:rsidRPr="009C05B8">
        <w:rPr>
          <w:bCs/>
          <w:i/>
          <w:iCs/>
          <w:color w:val="000000"/>
        </w:rPr>
        <w:t>b</w:t>
      </w:r>
      <w:r w:rsidR="009C05B8" w:rsidRPr="009C05B8">
        <w:rPr>
          <w:bCs/>
          <w:color w:val="000000"/>
        </w:rPr>
        <w:t>; 22, IV; e 176), bem como por interferir indevidamente na exploração de potenciais hidráulicos e na concessão de serviços públicos federais — leis estaduais que proíbem a construção de pequenas centrais hidrelétricas (</w:t>
      </w:r>
      <w:proofErr w:type="spellStart"/>
      <w:r w:rsidR="009C05B8" w:rsidRPr="009C05B8">
        <w:rPr>
          <w:bCs/>
          <w:color w:val="000000"/>
        </w:rPr>
        <w:t>PCHs</w:t>
      </w:r>
      <w:proofErr w:type="spellEnd"/>
      <w:r w:rsidR="009C05B8" w:rsidRPr="009C05B8">
        <w:rPr>
          <w:bCs/>
          <w:color w:val="000000"/>
        </w:rPr>
        <w:t>) e de novos empreendimentos hidrelétricos em trechos do Rio Chapecó, no Estado de Santa Catarina.</w:t>
      </w:r>
      <w:r w:rsidR="009C05B8">
        <w:rPr>
          <w:bCs/>
          <w:color w:val="000000"/>
        </w:rPr>
        <w:t xml:space="preserve"> </w:t>
      </w:r>
      <w:r w:rsidR="009C05B8">
        <w:rPr>
          <w:color w:val="000000"/>
        </w:rPr>
        <w:t xml:space="preserve">Embora a Constituição Federal preveja competência concorrente dos estados para legislar sobre meio ambiente, defesa dos recursos naturais e proteção do patrimônio histórico e cultural (CF/1988, art. 24, VI, VII e VIII), ela não se sobrepõe à competência privativa da União para regular o uso e o aproveitamento dos potenciais hidráulicos e a exploração dos serviços de energia elétrica. Conforme jurisprudência desta Corte [Precedentes citados: ADPF 979AgR, ADI 7076 e ADPF 452], normas estaduais ou municipais que proíbem ou condicionam a construção de empreendimentos hidrelétricos em cursos de água de domínio da União usurpam a competência constitucional do ente central, comprometendo o pacto federativo e o regime de repartição de competências. Na espécie, ao vedarem a construção de </w:t>
      </w:r>
      <w:proofErr w:type="spellStart"/>
      <w:r w:rsidR="009C05B8">
        <w:rPr>
          <w:color w:val="000000"/>
        </w:rPr>
        <w:t>PCHs</w:t>
      </w:r>
      <w:proofErr w:type="spellEnd"/>
      <w:r w:rsidR="009C05B8">
        <w:rPr>
          <w:color w:val="000000"/>
        </w:rPr>
        <w:t xml:space="preserve"> e novos empreendimentos hidrelétricos em trechos do Rio Chapecó, as leis estaduais impugnadas interferem diretamente na exploração de bens e serviços de titularidade da União, além de inviabilizar a atuação legislativa federal e a implementação de políticas públicas nacionais de energia. Com base nesses e em outros entendimentos, o Plenário, por maioria, julgou procedente a ação para declarar a inconstitucionalidade da </w:t>
      </w:r>
      <w:r w:rsidR="009C05B8" w:rsidRPr="009C05B8">
        <w:rPr>
          <w:color w:val="000000"/>
        </w:rPr>
        <w:t>Lei nº 15.111/2010</w:t>
      </w:r>
      <w:r w:rsidR="009C05B8">
        <w:rPr>
          <w:color w:val="000000"/>
        </w:rPr>
        <w:t>, da </w:t>
      </w:r>
      <w:r w:rsidR="009C05B8" w:rsidRPr="009C05B8">
        <w:rPr>
          <w:color w:val="000000"/>
        </w:rPr>
        <w:t>Lei nº 18.579/2022</w:t>
      </w:r>
      <w:r w:rsidR="009C05B8">
        <w:rPr>
          <w:color w:val="000000"/>
        </w:rPr>
        <w:t xml:space="preserve"> e da Lei nº 18.582/2022, todas do Estado de Santa Catarina.</w:t>
      </w:r>
    </w:p>
    <w:p w:rsidR="00CA7E71" w:rsidRPr="00CA7E71" w:rsidRDefault="009C05B8" w:rsidP="00CA7E71">
      <w:pPr>
        <w:pStyle w:val="NormalWeb"/>
        <w:shd w:val="clear" w:color="auto" w:fill="FFFFFF"/>
        <w:spacing w:before="240" w:beforeAutospacing="0" w:after="0" w:afterAutospacing="0"/>
        <w:jc w:val="both"/>
        <w:textAlignment w:val="baseline"/>
      </w:pPr>
      <w:r>
        <w:t xml:space="preserve">STF </w:t>
      </w:r>
      <w:r w:rsidR="00CA7E71" w:rsidRPr="00CA7E71">
        <w:t xml:space="preserve">(ADPF 1296, in Jota 17.12.2025) MOTO POR APP – CNS vai ao STF contra lei paulistana que cria regras sobre serviço de moto por aplicativo - </w:t>
      </w:r>
      <w:r w:rsidR="00CA7E71" w:rsidRPr="00CA7E71">
        <w:rPr>
          <w:bCs/>
        </w:rPr>
        <w:t>ADPF contesta dispositivos que restringem transporte de moto por aplicativo e pede suspensão imediata das exigências impostas pela lei -</w:t>
      </w:r>
      <w:r w:rsidR="00CA7E71" w:rsidRPr="00CA7E71">
        <w:t xml:space="preserve"> A Confederação Nacional de Serviços (CNS) ajuizou uma ação no Supremo Tribunal Federal (STF), com pedido de medida cautelar, contra dispositivos da Lei paulistana 18.349/2025 e o Decreto Municipal 64.811/2025, que criam regras sobre o serviço de transporte individual de moto por aplicativo. Para a CNS, as novas normas impõem restrições excessivas que, na prática, inviabilizam a atividade e violam decisões anteriores do Supremo. A ADPF foi distribuída por prevenção ao ministro Alexandre de Moraes, relator da (ADI) 7.852 e da (ADPF) 1.293, que tratam da regulação de serviços de motos para transporte. A CNS afirma que as normas municipais “ignoram completamente” as premissas estabelecidas pelo STF. No Tema 967 de Repercussão Geral, o Supremo entendeu como inconstitucional a proibição de transporte de moto por aplicativo por violar a livre iniciativa e a livre concorrência. A decisão se estendeu para a ADI 7.852, que definiu ilícito impor autorização prévia, condição suspensiva ou restrições desproporcionais à atividade. A ADPF questiona quatro novas exigências da Lei 18.349/2025. A primeira delas, o credenciamento prévio das empresas de aplicativo, que poderá passar por um período de 60 dias para a aprovação, com possibilidade de suspensão mediante novas exigências discricionárias. Para a </w:t>
      </w:r>
      <w:r w:rsidR="00CA7E71" w:rsidRPr="00CA7E71">
        <w:lastRenderedPageBreak/>
        <w:t xml:space="preserve">entidade patronal, o tempo de análise do credenciamento impede a execução da atividade, “o que acaba na prática por suspender mais uma vez e por tempo indefinido a liberação da atividade". A entidade também contesta a necessidade de cadastramento prévio dos motociclistas, que devem passar por um período de análise de 60 dias para a autorização da atividade. Segundo a CNS, por conta da exigência os profissionais “ficam completamente impedidos de trabalhar". Além disso, para a instituição, o credenciamento afronta o princípio da livre concorrência, “pois limita o ingresso de novas empresas no mercado, favorece agentes já estabelecidos e permite que o Município controle artificialmente o número de plataformas e motoristas ativos". Outra exigência imposta pela legislação é a obrigatoriedade das motocicletas possuírem placas vermelhas, ou seja, serem registradas na categoria “aluguel”. O que para a instituição sindical, “condiciona os veículos utilizados na atividade a autorização do poder público concedente", isso porque, o emplacamento desse segmento depende da autorização prévia do município. A CNS argumenta que “ao impor a adoção de placa vermelha", a lei municipal “modifica indevidamente a classificação federal dos veículos e altera a natureza jurídica do serviço". A legislação ainda determina que o exercício da atividade deve atender às exigências previstas na Lei Federal 12.0009/2009 e a resoluções do Conselho Nacional de Trânsito (CONTRAN), que se referem a </w:t>
      </w:r>
      <w:proofErr w:type="spellStart"/>
      <w:r w:rsidR="00CA7E71" w:rsidRPr="00CA7E71">
        <w:t>mototáxi</w:t>
      </w:r>
      <w:proofErr w:type="spellEnd"/>
      <w:r w:rsidR="00CA7E71" w:rsidRPr="00CA7E71">
        <w:t xml:space="preserve"> ou </w:t>
      </w:r>
      <w:proofErr w:type="spellStart"/>
      <w:r w:rsidR="00CA7E71" w:rsidRPr="00CA7E71">
        <w:t>motofrete</w:t>
      </w:r>
      <w:proofErr w:type="spellEnd"/>
      <w:r w:rsidR="00CA7E71" w:rsidRPr="00CA7E71">
        <w:t>, atividades submetidas ao regime de serviço público. Para a entidade, a exigência equipara o transporte individual por moto via aplicativo a um serviço público, ponto que já foi discutido na ADI 7852, na qual o entendimento foi de que se trata de serviço privado. "Em vez de proteger a vida e a integridade física, a lei municipal agrava a vulnerabilidade da população, especialmente a de baixa renda, a maior prejudicada pela ausência de transporte público integrado e pela insegurança urbana", argumentam os advogados Ricardo Oliveira Godoi e Beto Vasconcelos, que representam a CNS. A CNS solicitou uma medida cautelar para suspender imediatamente os dispositivos, alegando que sua continuidade causa impacto econômico e social sobre milhares de motociclistas que dependem da atividade para subsistência, a limitação das opções de mobilidade para a população, especialmente a de baixa renda e periférica, e o risco de multiplicação de atos municipais restritivos em todo o país. A entidade argumentou que o afastamento das exigências não implicaria desregulamentação, já que as empresas continuariam a atender as necessidades da Lei Federal nº 12.587/2012 e o Código de Trânsito Brasileiro, como já fazem em todo o país. A ação tramita como (ADPF) 1296.</w:t>
      </w:r>
    </w:p>
    <w:p w:rsidR="00003CE6" w:rsidRPr="00003CE6" w:rsidRDefault="00CA7E71" w:rsidP="00003CE6">
      <w:pPr>
        <w:pStyle w:val="NormalWeb"/>
        <w:shd w:val="clear" w:color="auto" w:fill="FFFFFF"/>
        <w:spacing w:before="240" w:beforeAutospacing="0" w:after="0" w:afterAutospacing="0"/>
        <w:jc w:val="both"/>
        <w:textAlignment w:val="baseline"/>
      </w:pPr>
      <w:r>
        <w:t xml:space="preserve">STF </w:t>
      </w:r>
      <w:r w:rsidR="00003CE6" w:rsidRPr="00003CE6">
        <w:t xml:space="preserve">(ADI 7910, in Notícias STF 09.12.2025) OAB questiona no Supremo proibição de advogados em perícias médicas - </w:t>
      </w:r>
      <w:r w:rsidR="00003CE6" w:rsidRPr="00003CE6">
        <w:rPr>
          <w:spacing w:val="-5"/>
        </w:rPr>
        <w:t>Ministro Cristiano Zanin pediu informações ao Congresso Nacional e à Presidência da República -</w:t>
      </w:r>
      <w:r w:rsidR="00003CE6" w:rsidRPr="00003CE6">
        <w:t xml:space="preserve"> O Conselho Federal da Ordem dos Advogados do Brasil (OAB) apresentou ao Supremo Tribunal Federal (STF) uma Ação Direta de Inconstitucionalidade (</w:t>
      </w:r>
      <w:r w:rsidR="00003CE6" w:rsidRPr="00003CE6">
        <w:rPr>
          <w:rStyle w:val="Forte"/>
          <w:rFonts w:eastAsiaTheme="majorEastAsia"/>
          <w:b w:val="0"/>
        </w:rPr>
        <w:t>ADI 7910</w:t>
      </w:r>
      <w:r w:rsidR="00003CE6" w:rsidRPr="00003CE6">
        <w:t xml:space="preserve">) contra a norma que proíbe a presença de qualquer pessoa não médica, inclusive advogados, em perícias médicas administrativas ou judiciais. O relator é o ministro Cristiano Zanin. A entidade questiona a validade do artigo 30, parágrafo 11, da Lei 11.907/2009, que condiciona a presença de não médico em atos periciais à autorização do perito médico federal. A OAB sustenta que a norma retira do periciado a possibilidade de receber assistência jurídica justamente na etapa em que se formam elementos essenciais em demandas previdenciárias, trabalhistas e outras que envolvem avaliação de incapacidade. Segundo seu argumento, a presença de um defensor pode ser decisiva para garantir que informações relevantes sejam consideradas e para assegurar transparência nos procedimentos. Outra alegação é a de que a restrição também viola o Estatuto da Advocacia, segundo o qual o advogado é indispensável em qualquer ato judicial ou administrativo. Sustenta, ainda, que o sigilo médico não pode servir de fundamento para afastar a participação de advogado, que também tem o dever de sigilo profissional. Por fim, argumenta que médicos e advogados têm funções diferentes, mas complementares, e sua atuação conjunta fortalece a legitimidade do ato pericial. </w:t>
      </w:r>
      <w:r w:rsidR="00003CE6" w:rsidRPr="00003CE6">
        <w:rPr>
          <w:rStyle w:val="Forte"/>
          <w:b w:val="0"/>
          <w:bCs w:val="0"/>
        </w:rPr>
        <w:t xml:space="preserve">Pedido de informações - </w:t>
      </w:r>
      <w:r w:rsidR="00003CE6" w:rsidRPr="00003CE6">
        <w:t>Diante da relevância do tema e de seu impacto para a ordem social e a segurança jurídica, o ministro Cristiano Zanin determinou que o Congresso Nacional e a Presidência da República prestem informações, no prazo de dez dias, para subsidiar o julgamento de mérito.</w:t>
      </w:r>
    </w:p>
    <w:p w:rsidR="00CA7E71" w:rsidRDefault="00003CE6" w:rsidP="00CA7E71">
      <w:pPr>
        <w:pStyle w:val="NormalWeb"/>
        <w:shd w:val="clear" w:color="auto" w:fill="FFFFFF"/>
        <w:spacing w:before="240" w:beforeAutospacing="0" w:after="0" w:afterAutospacing="0"/>
        <w:jc w:val="both"/>
        <w:textAlignment w:val="baseline"/>
      </w:pPr>
      <w:r>
        <w:t xml:space="preserve">STF </w:t>
      </w:r>
      <w:r w:rsidR="001D5387" w:rsidRPr="001D5387">
        <w:t xml:space="preserve">(ADI 7385, in Notícias STF 04.12.2025) Discussão de acordo sobre participação da União na </w:t>
      </w:r>
      <w:proofErr w:type="spellStart"/>
      <w:r w:rsidR="001D5387" w:rsidRPr="001D5387">
        <w:t>Eletrobras</w:t>
      </w:r>
      <w:proofErr w:type="spellEnd"/>
      <w:r w:rsidR="001D5387" w:rsidRPr="001D5387">
        <w:t xml:space="preserve"> avança no STF - </w:t>
      </w:r>
      <w:r w:rsidR="001D5387" w:rsidRPr="001D5387">
        <w:rPr>
          <w:spacing w:val="-5"/>
        </w:rPr>
        <w:t xml:space="preserve">Plenário concorda sobre constitucionalidade de compensar participação acionária com cadeiras no conselho da empresa. Julgamento foi suspenso até dia 11 – </w:t>
      </w:r>
      <w:r w:rsidR="001D5387" w:rsidRPr="001D5387">
        <w:t xml:space="preserve">O Plenário do Supremo Tribunal Federal (STF) voltou a analisar, na sessão plenária desta quinta-feira (4), a homologação do acordo firmado entre a União e a </w:t>
      </w:r>
      <w:proofErr w:type="spellStart"/>
      <w:r w:rsidR="001D5387" w:rsidRPr="001D5387">
        <w:t>Eletrobras</w:t>
      </w:r>
      <w:proofErr w:type="spellEnd"/>
      <w:r w:rsidR="001D5387" w:rsidRPr="001D5387">
        <w:t xml:space="preserve"> (Centrais Elétricas Brasileiras S.A.) para compensar a redução do </w:t>
      </w:r>
      <w:r w:rsidR="001D5387" w:rsidRPr="001D5387">
        <w:lastRenderedPageBreak/>
        <w:t>poder de voto do Executivo no conselho da empresa após sua desestatização. Até o momento, nove ministros votaram: cinco concordam com a homologação integral da conciliação, e os outros quatro votaram pela validação apenas da parte que trata da governança da companhia. Como nenhum dos entendimentos alcançou a maioria necessária (seis votos) para encerrar a análise da Ação Direta de Inconstitucionalidade </w:t>
      </w:r>
      <w:r w:rsidR="001D5387" w:rsidRPr="001D5387">
        <w:rPr>
          <w:rStyle w:val="Forte"/>
          <w:rFonts w:eastAsiaTheme="majorEastAsia"/>
          <w:b w:val="0"/>
        </w:rPr>
        <w:t>(ADI) 7385</w:t>
      </w:r>
      <w:r w:rsidR="001D5387" w:rsidRPr="001D5387">
        <w:t xml:space="preserve">, sob a relatoria do ministro Nunes Marques, o julgamento foi suspenso para colher o voto do ministro Luiz </w:t>
      </w:r>
      <w:proofErr w:type="spellStart"/>
      <w:r w:rsidR="001D5387" w:rsidRPr="001D5387">
        <w:t>Fux</w:t>
      </w:r>
      <w:proofErr w:type="spellEnd"/>
      <w:r w:rsidR="001D5387" w:rsidRPr="001D5387">
        <w:t xml:space="preserve">, justificadamente ausente à sessão. A continuidade está pautada para 11 de dezembro. </w:t>
      </w:r>
      <w:r w:rsidR="001D5387" w:rsidRPr="001D5387">
        <w:rPr>
          <w:rStyle w:val="Forte"/>
          <w:b w:val="0"/>
          <w:bCs w:val="0"/>
        </w:rPr>
        <w:t>Limitação - </w:t>
      </w:r>
      <w:r w:rsidR="001D5387" w:rsidRPr="001D5387">
        <w:t xml:space="preserve">A Presidência da República acionou o STF, em 2023, para afastar o dispositivo da Lei 14.182/2021 que, ao estabelecer o modelo de capitalização para viabilizar a privatização da companhia, limitou a 10% o poder de voto de qualquer acionista, inclusive a própria União, que detém 42% de ações ordinárias da empresa. O argumento foi de que a restrição contraria princípios como razoabilidade, proporcionalidade e proteção ao patrimônio público. O chamado “teto de voto” é um mecanismo societário que limita o poder de voto de cada acionista a um percentual máximo, independentemente da quantidade total de ações que detenha. A regra, prevista na Lei das Sociedades por Ações (Lei 6.404/1976), representa uma exceção ao modelo tradicional — segundo o qual cada ação ordinária corresponde a um voto nas deliberações da assembleia. </w:t>
      </w:r>
      <w:r w:rsidR="001D5387" w:rsidRPr="001D5387">
        <w:rPr>
          <w:rStyle w:val="Forte"/>
          <w:b w:val="0"/>
          <w:bCs w:val="0"/>
        </w:rPr>
        <w:t>Acordo - </w:t>
      </w:r>
      <w:r w:rsidR="001D5387" w:rsidRPr="001D5387">
        <w:t xml:space="preserve">O relator encaminhou as partes à Câmara de Conciliação e Arbitragem da Administração Federal (CCAF), onde um acordo foi firmado em abril de 2025. O documento prevê como principal consequência a possibilidade de a União indicar três dos 10 membros do conselho de administração da </w:t>
      </w:r>
      <w:proofErr w:type="spellStart"/>
      <w:r w:rsidR="001D5387" w:rsidRPr="001D5387">
        <w:t>Eletrobras</w:t>
      </w:r>
      <w:proofErr w:type="spellEnd"/>
      <w:r w:rsidR="001D5387" w:rsidRPr="001D5387">
        <w:t xml:space="preserve"> (atual </w:t>
      </w:r>
      <w:proofErr w:type="spellStart"/>
      <w:r w:rsidR="001D5387" w:rsidRPr="001D5387">
        <w:t>Axia</w:t>
      </w:r>
      <w:proofErr w:type="spellEnd"/>
      <w:r w:rsidR="001D5387" w:rsidRPr="001D5387">
        <w:t> Energia) ou dois, caso sua participação caia abaixo de 30%. O direito se extingue se a participação chegar a menos de 20%. A União também poderá indicar um dos cinco integrantes do conselho fiscal. O acordo também incorpora cláusulas para regular a relação entre a União e a Eletronuclear — responsável pelas usinas nucleares de energia elétrica no país e, até antes do acordo, fora do objeto da ADI. Posteriormente, o termo de conciliação foi aprovado pela assembleia de acionistas da companhia.</w:t>
      </w:r>
      <w:r w:rsidR="001D5387" w:rsidRPr="001D5387">
        <w:rPr>
          <w:spacing w:val="-5"/>
        </w:rPr>
        <w:t xml:space="preserve"> </w:t>
      </w:r>
      <w:r w:rsidR="001D5387" w:rsidRPr="001D5387">
        <w:t xml:space="preserve">Para a Advocacia Geral da União (AGU), em sustentação oral favorável ao acordo, a medida buscou estruturar a governança da </w:t>
      </w:r>
      <w:proofErr w:type="spellStart"/>
      <w:r w:rsidR="001D5387" w:rsidRPr="001D5387">
        <w:t>Eletrobras</w:t>
      </w:r>
      <w:proofErr w:type="spellEnd"/>
      <w:r w:rsidR="001D5387" w:rsidRPr="001D5387">
        <w:t xml:space="preserve"> após sua desestatização e evitar que um único investidor ou um grupo coordenado de investidores pudesse adquirir participação suficiente para controlar a companhia. </w:t>
      </w:r>
      <w:r w:rsidR="001D5387" w:rsidRPr="001D5387">
        <w:rPr>
          <w:rStyle w:val="Forte"/>
          <w:b w:val="0"/>
          <w:bCs w:val="0"/>
        </w:rPr>
        <w:t xml:space="preserve">Votos - </w:t>
      </w:r>
      <w:r w:rsidR="001D5387" w:rsidRPr="001D5387">
        <w:t xml:space="preserve">Embora haja consenso quanto à constitucionalidade da compensação do “teto de voto” com assentos no conselho de administração, os ministros se dividiram sobre a homologação integral ou parcial do acordo. O relator, ministro Nunes Marques, votou pela homologação integral. Segundo ele, a Lei 14.182/2021 é uma “lei de efeitos concretos” destinada especificamente ao caso </w:t>
      </w:r>
      <w:proofErr w:type="spellStart"/>
      <w:r w:rsidR="001D5387" w:rsidRPr="001D5387">
        <w:t>Eletrobras</w:t>
      </w:r>
      <w:proofErr w:type="spellEnd"/>
      <w:r w:rsidR="001D5387" w:rsidRPr="001D5387">
        <w:t xml:space="preserve"> e, por isso, a solução consensual é adequada. O relator destacou que promoveu a conciliação “não como artifício retórico, mas como mecanismo que devolve aos próprios protagonistas da controvérsia a construção da solução”. Na sua avaliação, o acordo “respeita os limites da disponibilidade administrativa, não contraria interesses públicos indisponíveis e promove estabilidade institucional em setor sensível da infraestrutura nacional”. Acompanharam o relator os ministros Cristiano Zanin, André Mendonça, Dias </w:t>
      </w:r>
      <w:proofErr w:type="spellStart"/>
      <w:r w:rsidR="001D5387" w:rsidRPr="001D5387">
        <w:t>Toffoli</w:t>
      </w:r>
      <w:proofErr w:type="spellEnd"/>
      <w:r w:rsidR="001D5387" w:rsidRPr="001D5387">
        <w:t xml:space="preserve"> e Gilmar Mendes, no entendimento de que o acordo é válido em sua totalidade, inclusive nos pontos que tratam de aspectos concretos como regras envolvendo a Eletronuclear. </w:t>
      </w:r>
      <w:r w:rsidR="001D5387" w:rsidRPr="001D5387">
        <w:rPr>
          <w:rStyle w:val="Forte"/>
          <w:b w:val="0"/>
          <w:bCs w:val="0"/>
        </w:rPr>
        <w:t xml:space="preserve">Divergências - </w:t>
      </w:r>
      <w:r w:rsidR="001D5387" w:rsidRPr="001D5387">
        <w:t>Já para o ministro Alexandre de Moraes, a Corte não pode homologar acordos sobre fatos concretos alheios à jurisdição constitucional, como questões de mercado relativas à Eletronuclear. Segundo o ministro, somente a cláusula que trata da governança da </w:t>
      </w:r>
      <w:proofErr w:type="spellStart"/>
      <w:r w:rsidR="001D5387" w:rsidRPr="001D5387">
        <w:t>Eletrobras</w:t>
      </w:r>
      <w:proofErr w:type="spellEnd"/>
      <w:r w:rsidR="001D5387" w:rsidRPr="001D5387">
        <w:t> tem relação direta com o objeto da ADI e permite a interpretação conforme. “O STF não tem condição, em sede de ação direta de inconstitucionalidade, de homologar um acordo de investimento da usina nuclear porque não está nos autos”, afirmou. “Não temos condição de analisar a manutenção das garantias prestadas aos financiamentos contratados em favor da Eletronuclear, mesmo porque uma eventual ação originária para definir esses pontos nem seria de competência do Supremo.” Acompanharam a divergência o ministro Flávio Dino, a ministra </w:t>
      </w:r>
      <w:proofErr w:type="spellStart"/>
      <w:r w:rsidR="001D5387" w:rsidRPr="001D5387">
        <w:t>Cármen</w:t>
      </w:r>
      <w:proofErr w:type="spellEnd"/>
      <w:r w:rsidR="001D5387" w:rsidRPr="001D5387">
        <w:t> Lúcia e o presidente da Corte, ministro Edson </w:t>
      </w:r>
      <w:proofErr w:type="spellStart"/>
      <w:r w:rsidR="001D5387" w:rsidRPr="001D5387">
        <w:t>Fachin</w:t>
      </w:r>
      <w:proofErr w:type="spellEnd"/>
      <w:r w:rsidR="001D5387" w:rsidRPr="001D5387">
        <w:t>.</w:t>
      </w:r>
      <w:r w:rsidR="00CA7E71">
        <w:t xml:space="preserve"> </w:t>
      </w:r>
    </w:p>
    <w:p w:rsidR="00CC15DD" w:rsidRDefault="001D5387" w:rsidP="00CC15DD">
      <w:pPr>
        <w:pStyle w:val="NormalWeb"/>
        <w:shd w:val="clear" w:color="auto" w:fill="FFFFFF"/>
        <w:spacing w:before="240" w:beforeAutospacing="0" w:after="0" w:afterAutospacing="0"/>
        <w:jc w:val="both"/>
        <w:textAlignment w:val="baseline"/>
      </w:pPr>
      <w:r>
        <w:t xml:space="preserve">STF </w:t>
      </w:r>
      <w:r w:rsidR="00CC15DD" w:rsidRPr="00FA5C65">
        <w:t>(ADI 7908, in Notícias STF 04.12.2025) Partido questiona normas sobre responsabilização de companhias aéreas em casos de força maior - Segundo a Rede, medida dificulta pedidos de indenização e desequilibra relação de consumo - A Rede Sustentabilidade apresentou ao Supremo Tribunal Federal (STF) a Ação Direta de Inconstitucionalidade </w:t>
      </w:r>
      <w:r w:rsidR="00CC15DD" w:rsidRPr="00FA5C65">
        <w:rPr>
          <w:rStyle w:val="Forte"/>
          <w:b w:val="0"/>
        </w:rPr>
        <w:t>(ADI) 7908</w:t>
      </w:r>
      <w:r w:rsidR="00CC15DD" w:rsidRPr="00FA5C65">
        <w:rPr>
          <w:b/>
        </w:rPr>
        <w:t> </w:t>
      </w:r>
      <w:r w:rsidR="00CC15DD" w:rsidRPr="00FA5C65">
        <w:t xml:space="preserve">para contestar alterações no Código Brasileiro de Aeronáutica (CBA) que tratam da responsabilidade civil de companhias aéreas em casos de atraso ou cancelamento de voos em razão de mau tempo ou outras situações de “força maior”. A ação foi distribuída </w:t>
      </w:r>
      <w:r w:rsidR="00CC15DD" w:rsidRPr="00FA5C65">
        <w:lastRenderedPageBreak/>
        <w:t>ao ministro Flávio Dino. A Lei 14.034/2020 introduziu mudanças no artigo 256 do CBA (Lei 7.565/1986) para isentar as transportadoras se for comprovado que, por motivo de caso fortuito ou de força maior, foi impossível adotar medidas necessárias para evitar </w:t>
      </w:r>
      <w:proofErr w:type="spellStart"/>
      <w:r w:rsidR="00CC15DD" w:rsidRPr="00FA5C65">
        <w:t>dano</w:t>
      </w:r>
      <w:proofErr w:type="spellEnd"/>
      <w:r w:rsidR="00CC15DD" w:rsidRPr="00FA5C65">
        <w:t> ao passageiro. O mesmo artigo (parágrafo 3º, incisos I a IV) define como casos fortuitos ou de força maior as restrições a pousos e decolagens decorrentes de condições meteorológicas adversas, a indisponibilidade de infraestrutura aeroportuária e imposições governamentais, como as medidas decretadas durante a pandemia da covid-19. A legenda argumenta, na ação, que os motivos que excluem o dever de indenizar são genéricos e de difícil comprovação e acabam blindando as empresas. Segundo a Rede, a norma também dificulta a produção de provas, o acesso do passageiro à Justiça e a atuação do juiz na análise dos casos. Com isso, cria proteção excessiva ao transportador em prejuízo dos passageiros, comprometendo o equilíbrio da relação de consumo e violando princípios constitucionais, como a dignidade da pessoa humana e o devido processo legal e o contraditório. Para o partido, a presunção de que os eventos apontados na lei configuram, por si sós, “caso fortuito ou força maior” não leva em conta que essas situações não impedem necessariamente o cumprimento do contrato: é preciso, a seu ver, examinar caso a caso, para que os consumidores possam buscar reparação por danos materiais e morais. </w:t>
      </w:r>
      <w:r w:rsidR="00CC15DD" w:rsidRPr="00FA5C65">
        <w:rPr>
          <w:rStyle w:val="Forte"/>
        </w:rPr>
        <w:t>Julgamento definitivo</w:t>
      </w:r>
      <w:r w:rsidR="00CC15DD" w:rsidRPr="00FA5C65">
        <w:t> - Em razão da relevância da matéria para a ordem social e a segurança jurídica, o ministro Flávio Dino decidiu levar a ação para julgamento definitivo em Plenário e pediu informações aos presidentes da República e do Congresso Nacional, a serem prestadas no prazo de 10 dias.</w:t>
      </w:r>
    </w:p>
    <w:p w:rsidR="00BF3F45" w:rsidRPr="00BF3F45" w:rsidRDefault="00BF3F45" w:rsidP="004C1C5B">
      <w:pPr>
        <w:pStyle w:val="NormalWeb"/>
        <w:shd w:val="clear" w:color="auto" w:fill="FFFFFF"/>
        <w:spacing w:before="240" w:beforeAutospacing="0" w:after="0" w:afterAutospacing="0"/>
        <w:jc w:val="both"/>
        <w:textAlignment w:val="baseline"/>
      </w:pPr>
      <w:r w:rsidRPr="00BF3F45">
        <w:t xml:space="preserve">STF (ADPF 1212, in Notícias STF 03.12.2025) STF determina suspensão dos serviços de loteria e apostas esportivas autorizados por leis municipais - </w:t>
      </w:r>
      <w:r w:rsidRPr="00BF3F45">
        <w:rPr>
          <w:spacing w:val="-5"/>
        </w:rPr>
        <w:t>Liminar concedida pelo ministro Nunes Marques determina a paralisação imediata dessas atividades; decisão será submetida a referendo em sessão plenária extraordinária -</w:t>
      </w:r>
      <w:r w:rsidRPr="00BF3F45">
        <w:t xml:space="preserve"> O ministro Nunes Marques, do Supremo Tribunal Federal (STF), determinou nesta quarta-feira (3) a suspensão de todas as leis e decretos municipais que criam, autorizam ou regulam loterias e apostas esportivas em âmbito local. Também ordenou a paralisação imediata das atividades já em funcionamento e dos procedimentos de credenciamento relacionados a esses serviços. A liminar foi concedida na Arguição de Descumprimento de Preceito Fundamental </w:t>
      </w:r>
      <w:r w:rsidRPr="00BF3F45">
        <w:rPr>
          <w:rStyle w:val="Forte"/>
          <w:rFonts w:eastAsiaTheme="majorEastAsia"/>
          <w:b w:val="0"/>
        </w:rPr>
        <w:t>(ADPF) 1212</w:t>
      </w:r>
      <w:r w:rsidRPr="00BF3F45">
        <w:t>, apresentada pelo partido Solidariedade. Na ação, a legenda alega que há uma proliferação de loterias municipais e que iniciativas desse tipo violam a competência privativa da União para legislar sobre consórcios e sorteios. A ADPF cita inúmeras leis e decretos municipais editados em diferentes regiões do país. De acordo com o partido, muitos desses atos têm permitido a exploração da modalidade de apostas de cota fixa (</w:t>
      </w:r>
      <w:proofErr w:type="spellStart"/>
      <w:r w:rsidRPr="00BF3F45">
        <w:t>bets</w:t>
      </w:r>
      <w:proofErr w:type="spellEnd"/>
      <w:r w:rsidRPr="00BF3F45">
        <w:t>) e a cessão dessa atividade a empresas não autorizadas pela Secretaria de Prêmios e Apostas do Ministério da Fazenda. </w:t>
      </w:r>
      <w:r w:rsidRPr="00BF3F45">
        <w:rPr>
          <w:rStyle w:val="Forte"/>
          <w:b w:val="0"/>
          <w:bCs w:val="0"/>
        </w:rPr>
        <w:t>Sistemática difusa e pulverizada </w:t>
      </w:r>
      <w:r w:rsidRPr="00BF3F45">
        <w:t>- Segundo o ministro, a Lei federal 13.756/2018, que disciplina as </w:t>
      </w:r>
      <w:proofErr w:type="spellStart"/>
      <w:r w:rsidRPr="00BF3F45">
        <w:t>bets</w:t>
      </w:r>
      <w:proofErr w:type="spellEnd"/>
      <w:r w:rsidRPr="00BF3F45">
        <w:t>, optou por concentrar a estrutura fiscalizatória na União, em razão do interesse nacional na modalidade. Além disso, a norma autorizou a exploração das loterias pelos estados e pelo Distrito Federal, nos limites da legislação federal, sem incluir os municípios. Ele considerou ainda que a competência dos municípios para legislar sobre matérias de interesse local não alcança as atividades lotéricas, que não se relacionam diretamente com necessidades imediatas de seus cidadãos ou do próprio ente local. Em seu entendimento, essa sistemática difusa e pulverizada promove “um esvaziamento drástico” da fiscalização conduzida pelo Executivo federal e dificulta a uniformização de parâmetros, regras publicitárias e mecanismos de defesa dos direitos do consumidor e da saúde do usuário.  A decisão estabelece multa diária de R$ 500 mil a municípios e empresas que continuarem a prestar o serviço e de R$ 50 mil aos prefeitos e presidentes das empresas credenciadas que mantiverem a exploração das atividades lotéricas. O relator solicitou à Presidência do STF a convocação de sessão extraordinária do Plenário Virtual para referendo da liminar.</w:t>
      </w:r>
    </w:p>
    <w:p w:rsidR="004C1C5B" w:rsidRDefault="00CC15DD" w:rsidP="004C1C5B">
      <w:pPr>
        <w:pStyle w:val="NormalWeb"/>
        <w:shd w:val="clear" w:color="auto" w:fill="FFFFFF"/>
        <w:spacing w:before="240" w:beforeAutospacing="0" w:after="0" w:afterAutospacing="0"/>
        <w:jc w:val="both"/>
        <w:textAlignment w:val="baseline"/>
      </w:pPr>
      <w:r>
        <w:t xml:space="preserve">STF </w:t>
      </w:r>
      <w:r w:rsidR="004C1C5B" w:rsidRPr="004C1C5B">
        <w:t>(RE 1366243, in Notícias STF 02.12.2025) STF realiza audiência para apresentar a Plataforma Nacional de Saúde -</w:t>
      </w:r>
      <w:r w:rsidR="004C1C5B" w:rsidRPr="004C1C5B">
        <w:rPr>
          <w:b/>
        </w:rPr>
        <w:t xml:space="preserve"> </w:t>
      </w:r>
      <w:r w:rsidR="004C1C5B" w:rsidRPr="004C1C5B">
        <w:rPr>
          <w:spacing w:val="-5"/>
        </w:rPr>
        <w:t>Sistema centralizará demandas relacionadas ao acesso e à aquisição de medicamentos pelo Sistema Único de Saúde em todo o país -</w:t>
      </w:r>
      <w:r w:rsidR="004C1C5B" w:rsidRPr="004C1C5B">
        <w:t xml:space="preserve"> O Supremo Tribunal Federal (STF) realizou, na segunda-feira (1º), uma audiência para apresentar a Plataforma Nacional de Saúde, sistema que centralizará as demandas relacionadas ao acesso e à aquisição de medicamentos pelo Sistema Único de Saúde (SUS) em todo o país. A plataforma foi instituída no acordo </w:t>
      </w:r>
      <w:proofErr w:type="spellStart"/>
      <w:r w:rsidR="004C1C5B" w:rsidRPr="004C1C5B">
        <w:t>interfederativo</w:t>
      </w:r>
      <w:proofErr w:type="spellEnd"/>
      <w:r w:rsidR="004C1C5B" w:rsidRPr="004C1C5B">
        <w:t xml:space="preserve"> homologado no julgamento do Recurso Extraordinário </w:t>
      </w:r>
      <w:r w:rsidR="004C1C5B" w:rsidRPr="004C1C5B">
        <w:rPr>
          <w:rStyle w:val="Forte"/>
          <w:b w:val="0"/>
        </w:rPr>
        <w:t>(RE) 1366243</w:t>
      </w:r>
      <w:r w:rsidR="004C1C5B" w:rsidRPr="004C1C5B">
        <w:t xml:space="preserve">, com repercussão geral (Tema 1.234), concluído em outubro de 2024. Desenvolvido e testado nos últimos 14 meses por uma equipe técnica do Tribunal Regional Federal da 4ª Região (TRF-4), o sistema segue diretrizes fixadas pelo grupo gestor do STF, com a colaboração dos </w:t>
      </w:r>
      <w:r w:rsidR="004C1C5B" w:rsidRPr="004C1C5B">
        <w:lastRenderedPageBreak/>
        <w:t>entes federativos. O ministro Gilmar Mendes, relator do recurso, abriu a audiência destacando a importância da nova plataforma, que facilitará a gestão de medicamentos tanto para gestores públicos quanto para médicos. “É com grande satisfação que o Supremo Tribunal Federal apresenta esta plataforma à comunidade jurídica e à população em geral, demonstrando os principais construtos dessa ferramenta tecnológica”, afirmou. Durante a audiência, foram apresentadas as diversas interfaces da plataforma, tanto para o uso dos médicos, responsáveis pelas solicitações, quanto para os gestores públicos, encarregados da aprovação. Há ainda uma interface específica para integrantes do Judiciário, como juízes, promotores e defensores públicos, que poderão monitorar as solicitações e exercer o controle judicial, se necessário. O sistema é integrado a diversas bases de dados do Ministério da Saúde e do Conselho Federal de Medicina. Ao registrar o medicamento solicitado, a plataforma informa a política pública vigente para sua aplicação. Caso o medicamento não esteja incluído, o sistema apresenta, por exemplo, o custo unitário e anual, além de indicar qual ente federativo será responsável pelo pagamento. Após a apresentação, os participantes da audiência fizeram perguntas e sugeriram aprimoramentos, que foram respondidos pela equipe responsável pelo desenvolvimento do sistema. A expectativa é que a Plataforma Nacional de Saúde seja concluída até o fim deste ano. Em seguida, o sistema será repassado ao Conselho Nacional de Justiça (CNJ), que, em governança colaborativa com os demais entes públicos e privados da área da saúde, definirá regras de uso, manutenção, suporte e logística física e técnica da plataforma.</w:t>
      </w:r>
    </w:p>
    <w:p w:rsidR="006616F5" w:rsidRDefault="00A35C86" w:rsidP="006616F5">
      <w:pPr>
        <w:pStyle w:val="NormalWeb"/>
        <w:shd w:val="clear" w:color="auto" w:fill="FFFFFF"/>
        <w:spacing w:before="240" w:beforeAutospacing="0" w:after="0" w:afterAutospacing="0"/>
        <w:jc w:val="both"/>
        <w:textAlignment w:val="baseline"/>
      </w:pPr>
      <w:r>
        <w:t>STF (</w:t>
      </w:r>
      <w:r w:rsidR="006616F5">
        <w:t xml:space="preserve">ADI 5650, </w:t>
      </w:r>
      <w:r>
        <w:t xml:space="preserve">in Migalhas </w:t>
      </w:r>
      <w:r w:rsidRPr="002F2241">
        <w:t>02.12.2025</w:t>
      </w:r>
      <w:r>
        <w:t xml:space="preserve">) Isonomia - STF derruba cotas que favoreciam alunos locais no ensino superior - Por unanimidade, colegiado seguiu voto do relator, ministro Nunes Marques, segundo o qual os critérios territoriais adotados para reserva de vagas violam a isonomia e impõem discriminação em </w:t>
      </w:r>
      <w:r w:rsidR="006616F5">
        <w:t xml:space="preserve">razão da origem. </w:t>
      </w:r>
      <w:r>
        <w:t>O STF, no plenário virtual, declarou a inconstitucionalidade de dispositivos da lei 2.894/04, do Estado do Amazonas, que reservam 80% das vagas de ingresso no ensino público superior estadual para estudantes de instituições de ensino locais, além de estabelecer critérios territoriais para o preenchimento de vagas da Escola Superior de Ciências da Saúde e restringir cotas indígenas apenas à</w:t>
      </w:r>
      <w:r w:rsidR="006616F5">
        <w:t xml:space="preserve">s etnias localizadas no Estado. </w:t>
      </w:r>
      <w:r>
        <w:t>Por unanimidade, o colegiado seguiu voto do relator, ministro Nunes Marques, segundo o qual os critérios territoriais adotados para reserva de vagas violam a isonomia e i</w:t>
      </w:r>
      <w:r w:rsidR="006616F5">
        <w:t xml:space="preserve">mpõem discriminações regionais. Entenda - </w:t>
      </w:r>
      <w:r>
        <w:t>A ação foi ajuizada pelo Procurador-Geral da República questionando dispositivos da lei amazonense que condicionavam reserva de vagas a alunos que tivessem estudado no Estado do Amazonas, tanto no ensino</w:t>
      </w:r>
      <w:r w:rsidR="006616F5">
        <w:t xml:space="preserve"> médio quanto no ensino básico. </w:t>
      </w:r>
      <w:r>
        <w:t>Também foi contestado o trecho que restringia cotas destinadas a povos indígenas apenas às etnias "loca</w:t>
      </w:r>
      <w:r w:rsidR="006616F5">
        <w:t xml:space="preserve">lizadas no Estado do Amazonas". </w:t>
      </w:r>
      <w:r>
        <w:t xml:space="preserve">Segundo o PGR, tais regras criavam distinções entre brasileiros baseadas em origem, afrontando os </w:t>
      </w:r>
      <w:proofErr w:type="spellStart"/>
      <w:r>
        <w:t>art</w:t>
      </w:r>
      <w:r w:rsidR="006616F5">
        <w:t>s</w:t>
      </w:r>
      <w:proofErr w:type="spellEnd"/>
      <w:r w:rsidR="006616F5">
        <w:t xml:space="preserve">. 3º, 5º e 19 da Constituição. </w:t>
      </w:r>
      <w:r>
        <w:t>Em defesa da lei, a Assembleia Legislativa do Amazonas sustentou que a norma buscava promover desenvolvimento regional e interiorização do ensino, enquanto o governador defendeu tratar-se d</w:t>
      </w:r>
      <w:r w:rsidR="006616F5">
        <w:t xml:space="preserve">e política afirmativa legítima. </w:t>
      </w:r>
      <w:r>
        <w:t>Já o Advogado-Geral da União destacou que critérios regionais não se coadunam com a igualdade material, e o PGR reiterou a vedação constitucional à criação de preferências entre brasileiros.</w:t>
      </w:r>
      <w:r w:rsidR="006616F5">
        <w:t xml:space="preserve"> Voto do relator - Em voto, o relator apontou inicialmente que parte da ação estava prejudicada, pois o plenário já havia declarado inconstitucional a cota de 80% reservada a alunos que cursaram o ensino médio no Amazonas no RE 614.873. No julgamento, o STF firmou entendimento de que a reserva de vagas baseada exclusivamente na origem regional do estudante viola os </w:t>
      </w:r>
      <w:proofErr w:type="spellStart"/>
      <w:r w:rsidR="006616F5">
        <w:t>arts</w:t>
      </w:r>
      <w:proofErr w:type="spellEnd"/>
      <w:r w:rsidR="006616F5">
        <w:t xml:space="preserve">. 3º, 5º e 19 da Constituição, ao criar distinções entre brasileiros em razão da procedência. A Corte concluiu que critérios geográficos não constituem fundamento legítimo para políticas afirmativas e acabam impondo barreiras desproporcionais ao acesso ao ensino superior, motivo pelo qual a cota de 80% foi considerada inconstitucional. Para S. Exa., mesmo em ações afirmativas, a Constituição não admite distinções sem correlação lógica com os objetivos de promoção da igualdade. Conforme destacou, não é "coerente com o espírito da CF, nem com os ideais da República nela consagrados, a falta de incentivos ao acolhimento de cidadãos vindos de outras unidades da Federação". Dispositivos inconstitucionais - Ao examinar os §§ 1º e 2º, do art. 1º da lei, o relator concluiu que a expressão "no Estado do Amazonas" impunha restrição territorial excessiva, inclusive para candidatos que concluíram o ensino médio por meio do EJA. Segundo afirmou, "a restrição de uma tal política em virtude da expressão 'no Estado do Amazonas' [...] compromete o núcleo essencial da vedação a distinções ou preferências entre brasileiros". Assim, declarou inconstitucionais as expressões "no Estado do Amazonas" contidas nos dispositivos. Sobre o art. 2º, que reservava metade das vagas da Escola Superior de Ciências da Saúde a candidatos do interior do Estado, o ministro destacou que a combinação </w:t>
      </w:r>
      <w:r w:rsidR="006616F5">
        <w:lastRenderedPageBreak/>
        <w:t>de dois critérios geográficos resultava em exclusão desproporcional de candidatos de outras regiões, mesmo vulneráveis, ao ponto de permitir que apenas 10% das vagas fossem disputadas por estudantes de outros estados. Assim, considerou a norma inconstitucional por desproporcionalidade. Já em relação ao art. 5º, o relator invalidou o trecho que restringia cotas indígenas apenas às etnias situadas no Amazonas: "não considero razoável a limitação, flexibilizando-se, a mais não poder, o princípio da igualdade de acesso ao ensino superior", concluiu. O entendimento foi acompanhado por unanimidade pelo colegiado.</w:t>
      </w:r>
    </w:p>
    <w:p w:rsidR="002F2241" w:rsidRPr="002F2241" w:rsidRDefault="004C1C5B" w:rsidP="002F2241">
      <w:pPr>
        <w:pStyle w:val="NormalWeb"/>
        <w:shd w:val="clear" w:color="auto" w:fill="FFFFFF"/>
        <w:spacing w:before="240" w:beforeAutospacing="0" w:after="0" w:afterAutospacing="0"/>
        <w:jc w:val="both"/>
        <w:textAlignment w:val="baseline"/>
      </w:pPr>
      <w:r>
        <w:t xml:space="preserve">STF </w:t>
      </w:r>
      <w:r w:rsidR="002F2241" w:rsidRPr="002F2241">
        <w:t xml:space="preserve">(ARE 1560244, in Jota 02.12.2025) PROCESSOS PARALISADOS – Passageiro </w:t>
      </w:r>
      <w:r>
        <w:t xml:space="preserve">pede para STF </w:t>
      </w:r>
      <w:r w:rsidR="002F2241" w:rsidRPr="002F2241">
        <w:t xml:space="preserve">esclarecer paralisação de processos sobre atraso de voos – </w:t>
      </w:r>
      <w:r w:rsidR="002F2241" w:rsidRPr="002F2241">
        <w:rPr>
          <w:bCs/>
        </w:rPr>
        <w:t xml:space="preserve">A suspensão das ações envolvendo indenização por atraso ou cancelamento foi determinada no final de novembro pelo ministro Dias </w:t>
      </w:r>
      <w:proofErr w:type="spellStart"/>
      <w:r w:rsidR="002F2241" w:rsidRPr="002F2241">
        <w:rPr>
          <w:bCs/>
        </w:rPr>
        <w:t>Toffoli</w:t>
      </w:r>
      <w:proofErr w:type="spellEnd"/>
      <w:r w:rsidR="002F2241" w:rsidRPr="002F2241">
        <w:rPr>
          <w:bCs/>
        </w:rPr>
        <w:t xml:space="preserve"> -</w:t>
      </w:r>
      <w:r w:rsidR="002F2241" w:rsidRPr="002F2241">
        <w:t xml:space="preserve"> O autor da ação que levou o Supremo Tribunal Federal (STF) a discutir as regras para a responsabilidade civil das companhias aéreas em casos de atraso de voos pediu à Corte que delimite quais processos estão de fato com a tramitação suspensa em todo o país. A suspensão nacional das disputas judiciais envolvendo indenização por atraso ou cancelamento foi determinada no final de novembro pelo ministro Dias </w:t>
      </w:r>
      <w:proofErr w:type="spellStart"/>
      <w:r w:rsidR="002F2241" w:rsidRPr="002F2241">
        <w:t>Toffoli</w:t>
      </w:r>
      <w:proofErr w:type="spellEnd"/>
      <w:r w:rsidR="002F2241" w:rsidRPr="002F2241">
        <w:t xml:space="preserve">, no Recurso Extraordinário com Agravo (ARE) 1560244. A decisão vale até que o Supremo defina qual legislação deve ser aplicada nos casos em que a alteração no voo for causada por motivos de força maior (condição meteorológica ou falta de estrutura no aeroporto, por exemplo): o Código Brasileiro de Aeronáutica ou o Código de Defesa do Consumidor. O pedido feito (embargos de declaração) é para que </w:t>
      </w:r>
      <w:proofErr w:type="spellStart"/>
      <w:r w:rsidR="002F2241" w:rsidRPr="002F2241">
        <w:t>Toffoli</w:t>
      </w:r>
      <w:proofErr w:type="spellEnd"/>
      <w:r w:rsidR="002F2241" w:rsidRPr="002F2241">
        <w:t xml:space="preserve"> esclareça que a suspensão só vale para processos que tratem de motivos de força maior. O objetivo é que as ações judiciais que discutem atraso em voo por problemas como falha de manutenção, cancelamento injustificado, falta de assistência ou dano à bagagem continuem tramitando. A demanda foi apresentada pela defesa de Thiago Ferreira Câmara. Ele foi o autor da ação contra a Azul Linhas Aéreas na 1ª instância da Justiça do Rio de Janeiro que chegou ao STF. A companhia contesta no Supremo decisão do Tribunal de Justiça fluminense que a condenou a indenizar o passageiro por danos materiais e morais, por causa de alteração e atraso no itinerário de voo. Segundo os advogados do passageiro, está ocorrendo uma “interpretação apressada ou incorreta” em várias comarcas do país, suspendendo a tramitação de processos que não tem relação com o caso em debate no STF. A defesa citou determinações de juízes paralisando casos sobre </w:t>
      </w:r>
      <w:proofErr w:type="spellStart"/>
      <w:r w:rsidR="002F2241" w:rsidRPr="002F2241">
        <w:t>overbooking</w:t>
      </w:r>
      <w:proofErr w:type="spellEnd"/>
      <w:r w:rsidR="002F2241" w:rsidRPr="002F2241">
        <w:t xml:space="preserve"> (quando há excesso de reservas em relação à capacidade da aeronave) e casos já em fase de cumprimento definitivo de sentença, após o encerramento (trânsito em julgado) de decisão condenando a companhia aérea. “A suspensão nacional de processos deve abranger apenas situações efetivamente relacionadas à controvérsia constitucional, evitando paralisação indevida de demandas que tratam de questões distintas e abarrotando o Judiciário de casos que ficarão suspensos que sequer serão afetados com a decisão a ser proferida no presente caso”, afirmou a defesa do passageiro. “Sem essa delimitação expressa, situações ordinárias de falha operacional acabarão sendo indevidamente tratadas como força maior ou caso fortuito, gerando a suspensão automática e indevida de milhares de processos que não tratam de excludentes legais”. Conforme o Código Brasileiro de Aeronáutica, a empresa aérea tem excluída sua responsabilidade por atrasos em voos em situações envolvendo motivo de força maior ou caso fortuito. A norma enquadra nessa classificação as restrições ao pouso ou à decolagem decorrentes de condições meteorológicas adversas ou da indisponibilidade da infraestrutura aeroportuária. Também são enquadradas as restrições causadas por determinação da autoridade de aviação civil ou de órgão do governo e a decretação de pandemia ou de regras que restrinjam o transporte aéreo. Essas hipóteses de excludente de responsabilidade das companhias aéreas foram questionadas no STF em outra ação, movida pelo partido Rede. A ação direta de inconstitucionalidade (ADI) 7908 está com a relatoria do ministro Flávio Dino.</w:t>
      </w:r>
    </w:p>
    <w:p w:rsidR="00677710" w:rsidRPr="00D870F5" w:rsidRDefault="002F2241" w:rsidP="00677710">
      <w:pPr>
        <w:pStyle w:val="NormalWeb"/>
        <w:shd w:val="clear" w:color="auto" w:fill="FFFFFF"/>
        <w:spacing w:before="240" w:beforeAutospacing="0" w:after="0" w:afterAutospacing="0"/>
        <w:jc w:val="both"/>
        <w:textAlignment w:val="baseline"/>
      </w:pPr>
      <w:r>
        <w:t xml:space="preserve">STF </w:t>
      </w:r>
      <w:r w:rsidR="00677710" w:rsidRPr="00D870F5">
        <w:t xml:space="preserve">(ADPF 1291, in Notícias STF 28.11.2025) Associação questiona manutenção de presos em delegacias do Amazonas - </w:t>
      </w:r>
      <w:proofErr w:type="spellStart"/>
      <w:r w:rsidR="00677710" w:rsidRPr="00D870F5">
        <w:rPr>
          <w:spacing w:val="-5"/>
        </w:rPr>
        <w:t>Adepol</w:t>
      </w:r>
      <w:proofErr w:type="spellEnd"/>
      <w:r w:rsidR="00677710" w:rsidRPr="00D870F5">
        <w:rPr>
          <w:spacing w:val="-5"/>
        </w:rPr>
        <w:t xml:space="preserve"> pede transferência imediata dos detidos e plano para reorganizar o fluxo prisional no estado -</w:t>
      </w:r>
      <w:r w:rsidR="00677710" w:rsidRPr="00D870F5">
        <w:t xml:space="preserve"> A Associação dos Delegados de Polícia do Brasil (</w:t>
      </w:r>
      <w:proofErr w:type="spellStart"/>
      <w:r w:rsidR="00677710" w:rsidRPr="00D870F5">
        <w:t>Adepol</w:t>
      </w:r>
      <w:proofErr w:type="spellEnd"/>
      <w:r w:rsidR="00677710" w:rsidRPr="00D870F5">
        <w:t xml:space="preserve"> do Brasil) apresentou ao Supremo Tribunal Federal (STF) a Arguição de Descumprimento de Preceito Fundamental </w:t>
      </w:r>
      <w:r w:rsidR="00677710" w:rsidRPr="00D870F5">
        <w:rPr>
          <w:rStyle w:val="Forte"/>
          <w:b w:val="0"/>
        </w:rPr>
        <w:t>(ADPF) 1291</w:t>
      </w:r>
      <w:r w:rsidR="00677710" w:rsidRPr="00D870F5">
        <w:t xml:space="preserve"> para questionar suposta omissão do Estado do Amazonas que resulta na manutenção de presos provisórios em delegacias do interior, mesmo sem condições adequadas para custódia. A ação foi distribuída ao ministro André Mendonça. Segundo a associação, a falta de vagas no sistema prisional e a demora na remoção dos detidos após o flagrante fazem com que delegacias funcionem como presídios improvisados, em cenário de superlotação, insalubridade e risco de fugas. Para a </w:t>
      </w:r>
      <w:proofErr w:type="spellStart"/>
      <w:r w:rsidR="00677710" w:rsidRPr="00D870F5">
        <w:t>Adepol</w:t>
      </w:r>
      <w:proofErr w:type="spellEnd"/>
      <w:r w:rsidR="00677710" w:rsidRPr="00D870F5">
        <w:t xml:space="preserve">, essa situação viola direitos básicos dos presos, expõe servidores e comunidades e desvia a Polícia Civil das atividades </w:t>
      </w:r>
      <w:r w:rsidR="00677710" w:rsidRPr="00D870F5">
        <w:lastRenderedPageBreak/>
        <w:t xml:space="preserve">de investigação. A entidade pede que o Supremo reconheça a omissão do estado e determine a transferência imediata dos detidos que permanecem nas delegacias. Solicita também que o governo estadual elabore um plano para organizar o fluxo de custódia, com metas, prazos definidos e regras para evitar novas permanências prolongadas, além de um modelo de acompanhamento das medidas. Segundo a </w:t>
      </w:r>
      <w:proofErr w:type="spellStart"/>
      <w:r w:rsidR="00677710" w:rsidRPr="00D870F5">
        <w:t>Adepol</w:t>
      </w:r>
      <w:proofErr w:type="spellEnd"/>
      <w:r w:rsidR="00677710" w:rsidRPr="00D870F5">
        <w:t>, inspeções, ações civis públicas e decisões pontuais não têm sido suficientes para solucionar o problema, que se repete em diversos municípios do interior. Para a associação, o quadro é estrutural e exige resposta do STF para impedir que delegacias continuem a ser usadas como unidades de custódia prolongada.</w:t>
      </w:r>
    </w:p>
    <w:p w:rsidR="00D870F5" w:rsidRDefault="00677710" w:rsidP="00D870F5">
      <w:pPr>
        <w:pStyle w:val="NormalWeb"/>
        <w:shd w:val="clear" w:color="auto" w:fill="FFFFFF"/>
        <w:spacing w:before="240" w:beforeAutospacing="0" w:after="0" w:afterAutospacing="0"/>
        <w:jc w:val="both"/>
        <w:textAlignment w:val="baseline"/>
      </w:pPr>
      <w:r w:rsidRPr="00D870F5">
        <w:t>STF (</w:t>
      </w:r>
      <w:r w:rsidR="00D870F5" w:rsidRPr="00D870F5">
        <w:t xml:space="preserve">ADI 7215, </w:t>
      </w:r>
      <w:r w:rsidRPr="00D870F5">
        <w:t>in Notícias STF 28.11.2025</w:t>
      </w:r>
      <w:r w:rsidR="006B2153">
        <w:t xml:space="preserve"> e Informativo STF 1200</w:t>
      </w:r>
      <w:r w:rsidRPr="00D870F5">
        <w:t>)</w:t>
      </w:r>
      <w:r w:rsidR="00D870F5" w:rsidRPr="00D870F5">
        <w:t xml:space="preserve"> Supremo valida gratuidade de transporte intermunicipal para pessoas com câncer em Rondônia - Para o Plenário, a norma, que garante o benefício a pessoas de baixa renda em tratamento, não tem impacto financeiro significativo para as empresas concessionárias - O Supremo Tribunal Federal (STF) julgou constitucional uma norma de Rondônia que garante gratuidade de transporte rodoviário intermunicipal a pessoas diagnosticadas com câncer, durante o período do tratamento, que tenham renda familiar mensal inferior a dois salários mínimos. A decisão foi tomada no julgamento da Ação Direta de Inconstitucionalidade </w:t>
      </w:r>
      <w:r w:rsidR="00D870F5" w:rsidRPr="00D870F5">
        <w:rPr>
          <w:rStyle w:val="Forte"/>
          <w:rFonts w:eastAsiaTheme="majorEastAsia"/>
          <w:b w:val="0"/>
        </w:rPr>
        <w:t>(ADI) 7215</w:t>
      </w:r>
      <w:r w:rsidR="00D870F5" w:rsidRPr="00D870F5">
        <w:t>, na sessão virtual encerrada em 14/11. Na ação, a Associação Nacional das Empresas de Transporte Rodoviário de Passageiros (</w:t>
      </w:r>
      <w:proofErr w:type="spellStart"/>
      <w:r w:rsidR="00D870F5" w:rsidRPr="00D870F5">
        <w:t>Anatrip</w:t>
      </w:r>
      <w:proofErr w:type="spellEnd"/>
      <w:r w:rsidR="00D870F5" w:rsidRPr="00D870F5">
        <w:t>) alegava que a Lei estadual 5.036/2021, de iniciativa do Legislativo, teria invadido atribuições do Poder Executivo. Além disso, sustentou que a proposta legislativa deveria ter sido acompanhada de estimativa de impacto orçamentário e financeiro, porque a gratuidade afetaria o equilíbrio econômico-financeiro dos contratos de concessão, e o ônus recairia sobre o poder público estadual. A entidade também pediu a derrubada do Decreto 26.294/2021, que regulamentou o benefício. </w:t>
      </w:r>
      <w:r w:rsidR="00D870F5" w:rsidRPr="00D870F5">
        <w:rPr>
          <w:rStyle w:val="Forte"/>
          <w:b w:val="0"/>
          <w:bCs w:val="0"/>
        </w:rPr>
        <w:t>Baixo impacto financeiro -</w:t>
      </w:r>
      <w:r w:rsidR="00D870F5" w:rsidRPr="00D870F5">
        <w:t xml:space="preserve"> Prevaleceu no julgamento o voto do relator, ministro Nunes Marques, que afastou a alegação de ordem econômica. Segundo ele, o benefício se destina a um grupo restrito de pessoas de baixa renda diagnosticadas com câncer, com o objetivo de viabilizar o deslocamento necessário para a realização de tratamento médico. “Todas as alegações formuladas pela associação baseiam-se, em verdade, na suposição de que a gratuidade causaria impacto financeiro significativo nas empresas concessionárias. No entanto, não há nenhuma demonstração concreta nesse sentido”, afirmou. O ministro observou ainda que esse tipo de norma não viola a reserva de iniciativa do Executivo, que abrange matérias relacionadas à estrutura e ao funcionamento da administração pública. Para o relator, a gratuidade prevista na lei de Rondônia não se enquadra nesse caso. </w:t>
      </w:r>
      <w:r w:rsidR="00D870F5" w:rsidRPr="00D870F5">
        <w:rPr>
          <w:rStyle w:val="Forte"/>
          <w:b w:val="0"/>
          <w:bCs w:val="0"/>
        </w:rPr>
        <w:t>Prazo inconstitucional -</w:t>
      </w:r>
      <w:r w:rsidR="00D870F5" w:rsidRPr="00D870F5">
        <w:rPr>
          <w:b/>
          <w:bCs/>
        </w:rPr>
        <w:t> </w:t>
      </w:r>
      <w:r w:rsidR="00D870F5" w:rsidRPr="00D870F5">
        <w:t>O voto do relator considerou inconstitucional apenas o artigo da lei rondoniense que estipulava prazo de 120 dias para a regulamentação da norma, uma vez que, de acordo com a jurisprudência do STF, o Legislativo não pode impor prazo para que o chefe do Executivo edite regulamentação. A decisão, contudo, não invalida o decreto estadual, pois o governo estadual já regulamentou a lei. Ficaram vencidos, nesse ponto, a ministra </w:t>
      </w:r>
      <w:proofErr w:type="spellStart"/>
      <w:r w:rsidR="00D870F5" w:rsidRPr="00D870F5">
        <w:t>Cármen</w:t>
      </w:r>
      <w:proofErr w:type="spellEnd"/>
      <w:r w:rsidR="00D870F5" w:rsidRPr="00D870F5">
        <w:t xml:space="preserve"> Lúcia e os ministros Alexandre de Moraes e Edson </w:t>
      </w:r>
      <w:proofErr w:type="spellStart"/>
      <w:r w:rsidR="00D870F5" w:rsidRPr="00D870F5">
        <w:t>Fachin</w:t>
      </w:r>
      <w:proofErr w:type="spellEnd"/>
      <w:r w:rsidR="00D870F5" w:rsidRPr="00D870F5">
        <w:t>, que também consideravam válido o dispositivo.</w:t>
      </w:r>
      <w:r w:rsidR="00F6596E">
        <w:t xml:space="preserve"> [Ver também notícia</w:t>
      </w:r>
      <w:r w:rsidR="00EE1B4A">
        <w:t xml:space="preserve"> abaixo</w:t>
      </w:r>
      <w:r w:rsidR="00F6596E">
        <w:t>, 26.11.2025</w:t>
      </w:r>
      <w:r w:rsidR="00EE1B4A">
        <w:t>]</w:t>
      </w:r>
    </w:p>
    <w:p w:rsidR="002B07F8" w:rsidRPr="002B07F8" w:rsidRDefault="002B07F8" w:rsidP="002B07F8">
      <w:pPr>
        <w:pStyle w:val="NormalWeb"/>
        <w:shd w:val="clear" w:color="auto" w:fill="FFFFFF"/>
        <w:spacing w:before="240" w:beforeAutospacing="0" w:after="0" w:afterAutospacing="0"/>
        <w:jc w:val="both"/>
        <w:textAlignment w:val="baseline"/>
      </w:pPr>
      <w:r w:rsidRPr="002B07F8">
        <w:t xml:space="preserve">STF (ADI 7385, in Notícias STF 27.11.2025) STF discute homologação de acordo que redefine participação da União na </w:t>
      </w:r>
      <w:proofErr w:type="spellStart"/>
      <w:r w:rsidRPr="002B07F8">
        <w:t>Eletrobras</w:t>
      </w:r>
      <w:proofErr w:type="spellEnd"/>
      <w:r w:rsidRPr="002B07F8">
        <w:t xml:space="preserve"> - </w:t>
      </w:r>
      <w:r w:rsidRPr="002B07F8">
        <w:rPr>
          <w:spacing w:val="-5"/>
        </w:rPr>
        <w:t>Debate foi suspenso após sustentações orais, com previsão de retomada na próxima semana -</w:t>
      </w:r>
      <w:r w:rsidRPr="002B07F8">
        <w:t xml:space="preserve"> O Supremo Tribunal Federal (STF) levou ao Plenário, nesta quinta-feira (27), a homologação do acordo entre a União e a </w:t>
      </w:r>
      <w:proofErr w:type="spellStart"/>
      <w:r w:rsidRPr="002B07F8">
        <w:t>Eletrobras</w:t>
      </w:r>
      <w:proofErr w:type="spellEnd"/>
      <w:r w:rsidRPr="002B07F8">
        <w:t xml:space="preserve"> (Centrais Elétricas Brasileiras S.A.) para compensar a redução do poder de voto do governo no conselho da empresa depois de sua desestatização. Após as manifestações das partes interessadas, o julgamento foi suspenso pelo presidente da Corte, ministro Edson </w:t>
      </w:r>
      <w:proofErr w:type="spellStart"/>
      <w:r w:rsidRPr="002B07F8">
        <w:t>Fachin</w:t>
      </w:r>
      <w:proofErr w:type="spellEnd"/>
      <w:r w:rsidRPr="002B07F8">
        <w:t xml:space="preserve">, com previsão de retomada na próxima semana. </w:t>
      </w:r>
      <w:r w:rsidRPr="002B07F8">
        <w:rPr>
          <w:rStyle w:val="Forte"/>
          <w:rFonts w:eastAsiaTheme="majorEastAsia"/>
          <w:b w:val="0"/>
          <w:bCs w:val="0"/>
        </w:rPr>
        <w:t>Limitação -</w:t>
      </w:r>
      <w:r w:rsidRPr="002B07F8">
        <w:t xml:space="preserve"> A Ação Direta de Inconstitucionalidade</w:t>
      </w:r>
      <w:r w:rsidRPr="002B07F8">
        <w:rPr>
          <w:rStyle w:val="Forte"/>
        </w:rPr>
        <w:t> </w:t>
      </w:r>
      <w:r w:rsidRPr="002B07F8">
        <w:rPr>
          <w:rStyle w:val="Forte"/>
          <w:b w:val="0"/>
        </w:rPr>
        <w:t>(ADI) 7385</w:t>
      </w:r>
      <w:r w:rsidRPr="002B07F8">
        <w:t xml:space="preserve">, de relatoria do ministro Nunes Marques, trata da validade do dispositivo da Lei 14.182/2021 que, ao estabelecer o modelo de capitalização para viabilizar a privatização da companhia, limitou a 10% o poder de voto de qualquer acionista, inclusive da própria União. Em 2023, a Presidência da República acionou o STF para afastar esse limite, com o argumento de que a restrição contraria princípios como razoabilidade, proporcionalidade e proteção ao patrimônio público. </w:t>
      </w:r>
      <w:r w:rsidRPr="002B07F8">
        <w:rPr>
          <w:rStyle w:val="Forte"/>
          <w:rFonts w:eastAsiaTheme="majorEastAsia"/>
          <w:b w:val="0"/>
          <w:bCs w:val="0"/>
        </w:rPr>
        <w:t>Acordo -</w:t>
      </w:r>
      <w:r w:rsidRPr="002B07F8">
        <w:t xml:space="preserve"> O acordo foi firmado em abril de 2025 na Câmara de Conciliação e Arbitragem da Administração Federal (CCAF). Posteriormente, foi aprovado pela assembleia de acionistas da companhia. O documento prevê como principal consequência a possibilidade de a União indicar três dos 10 membros do Conselho de Administração e um dos cinco integrantes do Conselho Fiscal da </w:t>
      </w:r>
      <w:proofErr w:type="spellStart"/>
      <w:r w:rsidRPr="002B07F8">
        <w:t>Eletrobras</w:t>
      </w:r>
      <w:proofErr w:type="spellEnd"/>
      <w:r w:rsidRPr="002B07F8">
        <w:t xml:space="preserve"> (atualmente denominada </w:t>
      </w:r>
      <w:proofErr w:type="spellStart"/>
      <w:r w:rsidRPr="002B07F8">
        <w:t>Axia</w:t>
      </w:r>
      <w:proofErr w:type="spellEnd"/>
      <w:r w:rsidRPr="002B07F8">
        <w:t xml:space="preserve">), enquanto mantiver ao menos 20% das ações ordinárias. </w:t>
      </w:r>
      <w:r w:rsidRPr="002B07F8">
        <w:rPr>
          <w:rStyle w:val="Forte"/>
          <w:rFonts w:eastAsiaTheme="majorEastAsia"/>
          <w:b w:val="0"/>
          <w:bCs w:val="0"/>
        </w:rPr>
        <w:t>Assimetria</w:t>
      </w:r>
      <w:r w:rsidRPr="002B07F8">
        <w:t xml:space="preserve"> - O </w:t>
      </w:r>
      <w:r w:rsidRPr="002B07F8">
        <w:lastRenderedPageBreak/>
        <w:t xml:space="preserve">representante da Advocacia-Geral da União (AGU), Flávio José Roman, sustentou que a ação não busca reverter a desestatização, mas reparar a assimetria criada pelo dispositivo legal. O advogado argumentou que o acordo recompõe o equilíbrio acionário. A AGU também considera que o dispositivo viabiliza investimentos urgentes, especialmente os necessários para a continuidade das operações de Angra 1, além de oferecer segurança jurídica ao ambiente de negócios do setor elétrico. </w:t>
      </w:r>
      <w:r w:rsidRPr="002B07F8">
        <w:rPr>
          <w:rStyle w:val="Forte"/>
          <w:rFonts w:eastAsiaTheme="majorEastAsia"/>
          <w:b w:val="0"/>
          <w:bCs w:val="0"/>
        </w:rPr>
        <w:t>Captura societária -</w:t>
      </w:r>
      <w:r w:rsidRPr="002B07F8">
        <w:t xml:space="preserve"> Em nome da </w:t>
      </w:r>
      <w:proofErr w:type="spellStart"/>
      <w:r w:rsidRPr="002B07F8">
        <w:t>Eletrobras</w:t>
      </w:r>
      <w:proofErr w:type="spellEnd"/>
      <w:r w:rsidRPr="002B07F8">
        <w:t xml:space="preserve">, o advogado Marcelo de Siqueira Freitas afirmou que o limite de 10% ao poder de voto é característica essencial no processo de desestatização, concebido para impedir a captura societária por qualquer grupo específico e preservar a governança dispersa da empresa. Esse desenho, segundo ele, foi proposto originalmente pela própria União ao Congresso e aprovado pela assembleia dos acionistas. Na sua avaliação, contudo, o acordo mantém o equilíbrio do marco legal e atende a critérios de gestão de risco do mercado. Sobre as cláusulas relativas à Eletronuclear, destacou que derivam da própria lei de desestatização e integram o conjunto negociado pelas partes. </w:t>
      </w:r>
      <w:r w:rsidRPr="002B07F8">
        <w:rPr>
          <w:rStyle w:val="Forte"/>
          <w:rFonts w:eastAsiaTheme="majorEastAsia"/>
          <w:b w:val="0"/>
          <w:bCs w:val="0"/>
        </w:rPr>
        <w:t>Outras manifestações</w:t>
      </w:r>
      <w:r w:rsidRPr="002B07F8">
        <w:t xml:space="preserve"> - Entre as entidades interessadas, as manifestações foram divergentes. Pelo Partido Novo, o advogado Rodolfo Gil Moura Rebouças apoiou a homologação, mas defendeu que a ADI trata de matéria infraconstitucional, própria do direito societário. Já pelas entidades que representam empregados e trabalhadores do setor elétrico, os advogados Cláudio Pereira de Souza Neto, Breno Silva Cavalcante e Maximiliano Garcez se opuseram ao acordo. Eles sustentaram que a limitação do voto da União compromete a soberania energética, viola o princípio da indisponibilidade do patrimônio público e cria um descompasso entre responsabilidade estatal e poder decisório, especialmente em uma empresa estratégica para o país.</w:t>
      </w:r>
      <w:r w:rsidR="0020237D">
        <w:t xml:space="preserve"> [Ver também notícia abaixo, site Migalhas, 27.11.2025]</w:t>
      </w:r>
    </w:p>
    <w:p w:rsidR="00F6596E" w:rsidRDefault="00F6596E" w:rsidP="00F6596E">
      <w:pPr>
        <w:pStyle w:val="NormalWeb"/>
        <w:shd w:val="clear" w:color="auto" w:fill="FFFFFF"/>
        <w:spacing w:before="240" w:beforeAutospacing="0" w:after="0" w:afterAutospacing="0"/>
        <w:jc w:val="both"/>
        <w:textAlignment w:val="baseline"/>
      </w:pPr>
      <w:r>
        <w:t>STF (</w:t>
      </w:r>
      <w:r w:rsidR="00A573F6">
        <w:t>ADI 7385, in Migalhas 27.11.2025</w:t>
      </w:r>
      <w:r>
        <w:t xml:space="preserve">) Sessão - </w:t>
      </w:r>
      <w:r w:rsidR="00E21EDF">
        <w:t>STF suspende aná</w:t>
      </w:r>
      <w:r>
        <w:t xml:space="preserve">lise de acordo entre União e </w:t>
      </w:r>
      <w:proofErr w:type="spellStart"/>
      <w:r>
        <w:t>Eletrobras</w:t>
      </w:r>
      <w:proofErr w:type="spellEnd"/>
      <w:r>
        <w:t xml:space="preserve"> sobre desestatização - A sessão foi pausada após as sustentações orais. STF suspendeu, nesta quinta-feira, o julgamento sobre a homologação do acordo firmado entre a União e a Eletrobrás acerca dos efeitos da desestatização da estatal. A análise foi interrompida após as sustentações orais. No início do mês, ministro Alexandre de Moraes pediu destaque, levando o caso a análise presencial, interrompendo o julgamento que ocorria em meio virtual, onde o placar estava 3 a 0 pela validade do acordo e pela extinção do processo. Já haviam votado nesse sentido o relator, ministro Nunes Marques, e os ministros Dias </w:t>
      </w:r>
      <w:proofErr w:type="spellStart"/>
      <w:r>
        <w:t>Toffoli</w:t>
      </w:r>
      <w:proofErr w:type="spellEnd"/>
      <w:r>
        <w:t xml:space="preserve"> e Edson </w:t>
      </w:r>
      <w:proofErr w:type="spellStart"/>
      <w:r>
        <w:t>Fachin</w:t>
      </w:r>
      <w:proofErr w:type="spellEnd"/>
      <w:r>
        <w:t>. O que está sendo julgado - A ação (</w:t>
      </w:r>
      <w:proofErr w:type="spellStart"/>
      <w:r>
        <w:t>ADIn</w:t>
      </w:r>
      <w:proofErr w:type="spellEnd"/>
      <w:r>
        <w:t xml:space="preserve"> 7.385), proposta pela Presidência da República, questiona a constitucionalidade de dispositivos da lei 14.182/21, que regulou a desestatização da Eletrobrás. O governo argumenta que a norma impôs à União um ônus desproporcional ao limitar a 10% o poder de voto de qualquer acionista, mesmo quando o ente público detém mais de 40% das ações ordinárias da empresa. Na prática, o modelo retirou do governo a possibilidade de exercer influência proporcional ao seu investimento, criando, segundo a petição inicial, uma "desapropriação indireta dos direitos políticos da União". A limitação, conhecida como </w:t>
      </w:r>
      <w:proofErr w:type="spellStart"/>
      <w:r>
        <w:t>voting</w:t>
      </w:r>
      <w:proofErr w:type="spellEnd"/>
      <w:r>
        <w:t xml:space="preserve"> </w:t>
      </w:r>
      <w:proofErr w:type="spellStart"/>
      <w:r>
        <w:t>cap</w:t>
      </w:r>
      <w:proofErr w:type="spellEnd"/>
      <w:r>
        <w:t>, foi introduzida no processo de privatização com o objetivo de impedir que qualquer grupo concentrasse o controle acionário da companhia. Após sucessivas prorrogações de prazo, as negociações entre as partes foram conduzidas pela CCAF - Câmara de Conciliação e Arbitragem da Administração Federal. Em fevereiro de 2025, foi formalizado o termo de conciliação 7/25, que prevê ajustes de governança na Eletrobrás e na Eletronuclear, mantendo, porém, a trava de 10% para o poder de voto da União. Pelo acordo, o governo mantém a restrição, mas ganha direito de indicar três dos dez assentos do Conselho de Administração e um no Conselho Fiscal da companhia. A Eletrobrás, por sua vez, fica desobrigada de realizar novos aportes bilionários na Eletronuclear, podendo inclusive alienar sua participação na empresa. O termo também suspende o antigo Acordo de Investimentos entre Eletrobrás e a Empresa Brasileira de Participações em Energia Nuclear e Binacional (</w:t>
      </w:r>
      <w:proofErr w:type="spellStart"/>
      <w:r>
        <w:t>ENBPar</w:t>
      </w:r>
      <w:proofErr w:type="spellEnd"/>
      <w:r>
        <w:t xml:space="preserve">), que tratava do financiamento da Usina Nuclear de Angra 3, e estabelece que as debêntures emitidas para o projeto de Angra 1 poderão ser convertidas em ações, conforme critérios de desempenho da estatal nuclear. Sustentação oral - Em sustentação oral, o advogado Flávio José Roman, pela Procuradoria-Geral da República, defendeu a homologação do acordo celebrado entre a União e a </w:t>
      </w:r>
      <w:proofErr w:type="spellStart"/>
      <w:r>
        <w:t>Eletrobras</w:t>
      </w:r>
      <w:proofErr w:type="spellEnd"/>
      <w:r>
        <w:t xml:space="preserve"> na ação, que discute dispositivos da lei 14.182/21 relativos ao processo de desestatização da companhia. A PGR explicou que a ação não questiona a privatização em si, mas sim a limitação do poder de voto da União, que, mesmo mantendo cerca de 42% das ações ordinárias, ficou restrita a um </w:t>
      </w:r>
      <w:proofErr w:type="spellStart"/>
      <w:r>
        <w:t>voting</w:t>
      </w:r>
      <w:proofErr w:type="spellEnd"/>
      <w:r>
        <w:t xml:space="preserve"> </w:t>
      </w:r>
      <w:proofErr w:type="spellStart"/>
      <w:r>
        <w:t>cap</w:t>
      </w:r>
      <w:proofErr w:type="spellEnd"/>
      <w:r>
        <w:t xml:space="preserve"> de 10%. Segundo a manifestação, essa restrição afetava de forma desproporcional o direito político da União como acionista, motivando a ação de inconstitucionalidade. Após envio do caso à Câmara de Conciliação da AGU, União e </w:t>
      </w:r>
      <w:proofErr w:type="spellStart"/>
      <w:r>
        <w:t>Eletrobras</w:t>
      </w:r>
      <w:proofErr w:type="spellEnd"/>
      <w:r>
        <w:t xml:space="preserve"> firmaram acordo que prevê </w:t>
      </w:r>
      <w:r>
        <w:lastRenderedPageBreak/>
        <w:t xml:space="preserve">compensação política à União por meio de três cadeiras no Conselho de Administração e uma no Conselho Fiscal, ampliando sua participação nas decisões estratégicas da empresa. A PGR destacou também cláusulas relativas à Eletronuclear, incluindo a emissão de debêntures de R$ 2,4 bilhões, que permitirão investimentos imediatos em Angra 1. O acordo, aprovado por ampla maioria dos acionistas, depende da homologação pelo STF para produzir efeitos, entre eles a manutenção das cadeiras destinadas à União no Conselho de Administração. Ao final, a PGR pediu urgência na conclusão do julgamento para evitar perda de vigência de pontos do acordo ainda no atual exercício e reforçou que a conciliação respeita a legalidade, preserva a governança da empresa e garante segurança jurídica ao setor elétrico. Representando a </w:t>
      </w:r>
      <w:proofErr w:type="spellStart"/>
      <w:r>
        <w:t>Eletrobras</w:t>
      </w:r>
      <w:proofErr w:type="spellEnd"/>
      <w:r>
        <w:t xml:space="preserve">, Marcelo de Siqueira Freitas sustentou que os dispositivos questionados na ação, que limitam o poder de voto dos acionistas a 10%, foram essenciais para o modelo de desestatização aprovado pelo Congresso e têm como finalidade preservar o interesse público, impedindo que a companhia seja capturada por um acionista ou grupo específico, nacional ou estrangeiro. Segundo ele, a limitação de voto aplica-se a todos os acionistas, não apenas à União, e visa manter a empresa como uma </w:t>
      </w:r>
      <w:proofErr w:type="spellStart"/>
      <w:r>
        <w:t>true</w:t>
      </w:r>
      <w:proofErr w:type="spellEnd"/>
      <w:r>
        <w:t xml:space="preserve"> </w:t>
      </w:r>
      <w:proofErr w:type="spellStart"/>
      <w:r>
        <w:t>corporation</w:t>
      </w:r>
      <w:proofErr w:type="spellEnd"/>
      <w:r>
        <w:t xml:space="preserve">, sem controle definido. O representante destacou que a modelagem da privatização foi proposta pelo próprio Poder Executivo e aprovada integralmente pelo Legislativo, preservando a capacidade de a União receber o equivalente a R$ 35 bilhões por meio da renovação de concessões e investimentos obrigatórios, ao invés de vender suas ações. Defendeu, ainda, que o acordo firmado entre União e </w:t>
      </w:r>
      <w:proofErr w:type="spellStart"/>
      <w:r>
        <w:t>Eletrobras</w:t>
      </w:r>
      <w:proofErr w:type="spellEnd"/>
      <w:r>
        <w:t xml:space="preserve">, fruto de 15 meses de negociação, mantém a privatização, preserva o limite de 10% para todos os acionistas e concede à União maior participação na governança, com três cadeiras no Conselho de Administração e uma no Conselho Fiscal, enquanto detiver ao menos 20% das ações ordinárias. Freitas também esclareceu pontos relativos à Eletronuclear, afirmando que a solução negociada decorre de exigência constitucional que impede empresas privatizadas de controlarem instalações nucleares. O acordo, segundo ele, atende ao interesse público ao prever a emissão de debêntures para financiar investimentos urgentes em Angra 1. Ao final, reforçou que, embora parte do </w:t>
      </w:r>
      <w:r w:rsidR="00E21EDF">
        <w:t xml:space="preserve">acordo extrapole o objeto da </w:t>
      </w:r>
      <w:proofErr w:type="spellStart"/>
      <w:r w:rsidR="00E21EDF">
        <w:t>ADI</w:t>
      </w:r>
      <w:r>
        <w:t>n</w:t>
      </w:r>
      <w:proofErr w:type="spellEnd"/>
      <w:r>
        <w:t xml:space="preserve">, sua homologação pelo STF garante segurança jurídica e resolve de forma definitiva os pontos controvertidos, motivo pelo qual a </w:t>
      </w:r>
      <w:proofErr w:type="spellStart"/>
      <w:r>
        <w:t>Eletrobras</w:t>
      </w:r>
      <w:proofErr w:type="spellEnd"/>
      <w:r>
        <w:t xml:space="preserve"> também pugna pela homologação.</w:t>
      </w:r>
    </w:p>
    <w:p w:rsidR="002044F8" w:rsidRDefault="00677710" w:rsidP="002044F8">
      <w:pPr>
        <w:pStyle w:val="NormalWeb"/>
        <w:shd w:val="clear" w:color="auto" w:fill="FFFFFF"/>
        <w:spacing w:before="240" w:beforeAutospacing="0" w:after="0" w:afterAutospacing="0"/>
        <w:jc w:val="both"/>
        <w:textAlignment w:val="baseline"/>
      </w:pPr>
      <w:r>
        <w:t xml:space="preserve">STF </w:t>
      </w:r>
      <w:r w:rsidR="002044F8">
        <w:t xml:space="preserve">(ADI 7215, in Migalhas 26.11.2025) Plenário virtual - STF valida transporte intermunicipal gratuito a pacientes com câncer - O colegiado, entretanto, derrubou prazo imposto ao governo de Rondônia para regulamentar a medida. O plenário virtual do STF decidiu, nesta terça-feira, 25, manter a validade da lei 5.036/21 de Rondônia, que concede transporte intermunicipal gratuito a pessoas de baixa renda em tratamento de câncer, mas declarou inconstitucional o artigo que obrigava o Poder Executivo estadual a regulamentar a norma em até 120 dias. A maioria dos ministros acompanhou o voto do relator, ministro Nunes Marques, para quem a imposição de prazo viola a separação dos Poderes, embora o conteúdo principal da lei seja compatível com as competências do Estado. A ação havia sido proposta pela </w:t>
      </w:r>
      <w:proofErr w:type="spellStart"/>
      <w:r w:rsidR="002044F8">
        <w:t>Anatrip</w:t>
      </w:r>
      <w:proofErr w:type="spellEnd"/>
      <w:r w:rsidR="002044F8">
        <w:t xml:space="preserve"> - Associação Nacional das Empresas de Transporte Rodoviário de Passageiros, que contestava tanto a competência do Legislativo estadual para instituir a gratuidade quanto os possíveis impactos econômico-financeiros do benefício sobre contratos de concessão. Voto do relator - Em seu voto, Nunes Marques reconheceu a legitimidade da entidade autora e passou a examinar o mérito da lei estadual. O ministro afirmou que a norma trata de transporte intermunicipal e assistência social, temas dentro da competência legislativa dos Estados e também relacionados à competência comum em saúde e assistência. Segundo o relator, a concessão do benefício não invade matéria de iniciativa privativa do Executivo, pois não cria órgãos, cargos ou estrutura administrativa. Ele também concluiu que a lei não viola o art. 113 do ADCT - Ato das Disposições Constitucionais Transitórias, pois não ficou comprovado o impacto financeiro relevante capaz de exigir estudo prévio obrigatório. Nunes Marques destacou ainda que o benefício tem alcance limitado - concessão de duas gratuidades por viagem, direcionada a pessoas em tratamento oncológico - e que eventual desequilíbrio econômico-financeiro nos contratos deve ser discutido nas vias ordinárias, e não em controle abstrato de constitucionalidade. O único ponto considerado inconstitucional foi o art. 3º da lei, que determinava a regulamentação pelo Executivo no prazo de 120 dias. Para o relator, exigir prazo específico para regulamentação interfere indevidamente na esfera administrativa do governo estadual, em desacordo com o princípio da separação dos Poderes. Em precedentes, como as </w:t>
      </w:r>
      <w:proofErr w:type="spellStart"/>
      <w:r w:rsidR="002044F8">
        <w:t>ADIns</w:t>
      </w:r>
      <w:proofErr w:type="spellEnd"/>
      <w:r w:rsidR="002044F8">
        <w:t xml:space="preserve"> 4.728 e 4.052, o STF já havia decidido que o Legislativo não pode impor prazos dessa natureza. Acompanharam o relator: Cristiano Zanin, Dias </w:t>
      </w:r>
      <w:proofErr w:type="spellStart"/>
      <w:r w:rsidR="002044F8">
        <w:t>Toffoli</w:t>
      </w:r>
      <w:proofErr w:type="spellEnd"/>
      <w:r w:rsidR="002044F8">
        <w:t xml:space="preserve">, André Mendonça, Luiz </w:t>
      </w:r>
      <w:proofErr w:type="spellStart"/>
      <w:r w:rsidR="002044F8">
        <w:t>Fux</w:t>
      </w:r>
      <w:proofErr w:type="spellEnd"/>
      <w:r w:rsidR="002044F8">
        <w:t xml:space="preserve">, Flávio Dino e Gilmar Mendes (com ressalvas), formando a maioria. Gilmar afirmou que nenhum serviço público é totalmente gratuito e que </w:t>
      </w:r>
      <w:r w:rsidR="002044F8">
        <w:lastRenderedPageBreak/>
        <w:t xml:space="preserve">medidas dessa natureza, idealmente, deveriam vir acompanhadas de estudos de impacto e, quando necessário, de mecanismos compensatórios. Ele observou que a expansão de gratuidades sem análise aprofundada pode comprometer a viabilidade do serviço e afetar a isonomia. Ainda assim, considerou constitucional o benefício instituído pela lei estadual, concordando com o relator de que eventual desequilíbrio contratual deve ser resolvido nas instâncias competentes e não invalida, por si só, a norma. Voto divergente - O ministro Alexandre de Moraes abriu divergência e votou pela total improcedência da ação, mantendo integralmente a lei estadual. Moraes argumentou que o prazo para regulamentação não representa violação à separação dos Poderes. Para ele, a imposição de prazo apenas "chama à responsabilidade" o Executivo nos casos em que a regulamentação é indispensável para que direitos sociais tenham eficácia. O ministro observou que o descumprimento do prazo não implica sanção automática e que, em caso de omissão, caberia ao Judiciário ser acionado por meio de instrumento adequado, como mandado de injunção ou ação direta de inconstitucionalidade por omissão. O ministro também rejeitou a alegação de impacto financeiro e destacou que o benefício previsto na lei se insere em política pública de assistência e saúde, legitimamente tratada pelo Legislativo estadual. Para Moraes, a concessão da gratuidade não afeta a estrutura administrativa do Poder Executivo e não viola iniciativa privativa. Os ministros </w:t>
      </w:r>
      <w:proofErr w:type="spellStart"/>
      <w:r w:rsidR="002044F8">
        <w:t>Cármen</w:t>
      </w:r>
      <w:proofErr w:type="spellEnd"/>
      <w:r w:rsidR="002044F8">
        <w:t xml:space="preserve"> Lúcia e Edson </w:t>
      </w:r>
      <w:proofErr w:type="spellStart"/>
      <w:r w:rsidR="002044F8">
        <w:t>Fachin</w:t>
      </w:r>
      <w:proofErr w:type="spellEnd"/>
      <w:r w:rsidR="002044F8">
        <w:t xml:space="preserve"> acompanharam integralmente a divergência.</w:t>
      </w:r>
    </w:p>
    <w:p w:rsidR="006C3859" w:rsidRPr="006C3859" w:rsidRDefault="006C3859" w:rsidP="006C3859">
      <w:pPr>
        <w:pStyle w:val="NormalWeb"/>
        <w:shd w:val="clear" w:color="auto" w:fill="FFFFFF"/>
        <w:spacing w:before="240" w:beforeAutospacing="0" w:after="0" w:afterAutospacing="0"/>
        <w:jc w:val="both"/>
        <w:textAlignment w:val="baseline"/>
      </w:pPr>
      <w:r w:rsidRPr="006C3859">
        <w:t xml:space="preserve">STF (ARE 1560244, in Notícias STF 26.11.2025) STF suspende todos os processos sobre atraso e cancelamento de voos - </w:t>
      </w:r>
      <w:r w:rsidRPr="006C3859">
        <w:rPr>
          <w:spacing w:val="-5"/>
        </w:rPr>
        <w:t xml:space="preserve">Decisão do ministro Dias </w:t>
      </w:r>
      <w:proofErr w:type="spellStart"/>
      <w:r w:rsidRPr="006C3859">
        <w:rPr>
          <w:spacing w:val="-5"/>
        </w:rPr>
        <w:t>Toffoli</w:t>
      </w:r>
      <w:proofErr w:type="spellEnd"/>
      <w:r w:rsidRPr="006C3859">
        <w:rPr>
          <w:spacing w:val="-5"/>
        </w:rPr>
        <w:t xml:space="preserve"> visa evitar decisões conflitantes sobre a responsabilidade das companhias aéreas, até o julgamento final da matéria pelo Supremo -</w:t>
      </w:r>
      <w:r w:rsidRPr="006C3859">
        <w:t xml:space="preserve"> O ministro Dias </w:t>
      </w:r>
      <w:proofErr w:type="spellStart"/>
      <w:r w:rsidRPr="006C3859">
        <w:t>Toffoli</w:t>
      </w:r>
      <w:proofErr w:type="spellEnd"/>
      <w:r w:rsidRPr="006C3859">
        <w:t>, do Supremo Tribunal Federal (STF), determinou, nesta quarta-feira (26), a suspensão de todos os processos judiciais que tratam da responsabilização de empresas aéreas por danos decorrentes de cancelamento, alteração ou atraso de transporte em tramitação no país. A decisão foi tomada no Recurso Extraordinário com Agravo </w:t>
      </w:r>
      <w:r w:rsidRPr="006C3859">
        <w:rPr>
          <w:rStyle w:val="Forte"/>
          <w:rFonts w:eastAsiaTheme="majorEastAsia"/>
          <w:b w:val="0"/>
        </w:rPr>
        <w:t>(ARE) 1560244</w:t>
      </w:r>
      <w:r w:rsidRPr="006C3859">
        <w:t>, com repercussão geral reconhecida (Tema 1.417). A medida atende a pedido da Azul Linhas Aéreas, autora do recurso, e da Confederação Nacional do Transporte (CNT), admitida como interessada no processo (</w:t>
      </w:r>
      <w:proofErr w:type="spellStart"/>
      <w:r w:rsidRPr="006C3859">
        <w:rPr>
          <w:rStyle w:val="nfase"/>
        </w:rPr>
        <w:t>amicus</w:t>
      </w:r>
      <w:proofErr w:type="spellEnd"/>
      <w:r w:rsidRPr="006C3859">
        <w:rPr>
          <w:rStyle w:val="nfase"/>
        </w:rPr>
        <w:t xml:space="preserve"> </w:t>
      </w:r>
      <w:proofErr w:type="spellStart"/>
      <w:r w:rsidRPr="006C3859">
        <w:rPr>
          <w:rStyle w:val="nfase"/>
        </w:rPr>
        <w:t>curiae</w:t>
      </w:r>
      <w:proofErr w:type="spellEnd"/>
      <w:r w:rsidRPr="006C3859">
        <w:t xml:space="preserve">). Entre outros argumentos, elas alegavam que a matéria tem gerado entendimentos divergentes no Poder Judiciário, com decisões que aplicam o Código de Defesa do Consumidor (CDC) e outras o Código Brasileiro de Aeronáutica (CBA). O resultado é o tratamento desigual em casos idênticos, “comprometendo a isonomia e sobrecarregando o sistema de Justiça com demandas repetitivas”. Além disso, sustentam que o alto índice de litigância relacionada ao transporte aéreo compromete a segurança jurídica e a competitividade do setor. </w:t>
      </w:r>
      <w:r w:rsidRPr="006C3859">
        <w:rPr>
          <w:rStyle w:val="Forte"/>
          <w:b w:val="0"/>
          <w:bCs w:val="0"/>
        </w:rPr>
        <w:t>Controvérsia -</w:t>
      </w:r>
      <w:r w:rsidRPr="006C3859">
        <w:t xml:space="preserve"> Na decisão, o ministro </w:t>
      </w:r>
      <w:proofErr w:type="spellStart"/>
      <w:r w:rsidRPr="006C3859">
        <w:t>Toffoli</w:t>
      </w:r>
      <w:proofErr w:type="spellEnd"/>
      <w:r w:rsidRPr="006C3859">
        <w:t xml:space="preserve"> considerou que, diante do cenário apresentado nos autos, a suspensão nacional de processos até o julgamento definitivo do recurso extraordinário pelo STF é uma medida “conveniente e oportuna”. Segundo ele, a providência, prevista no artigo 1.035, parágrafo 5º, do Código de Processo Civil (CPC), pode evitar “tanto a multiplicação de decisões conflitantes quanto a situação de grave insegurança jurídica daí decorrente”, que afeta tanto as empresas de transporte aéreo quanto os consumidores desse serviço. </w:t>
      </w:r>
      <w:r w:rsidRPr="006C3859">
        <w:rPr>
          <w:rStyle w:val="Forte"/>
          <w:b w:val="0"/>
          <w:bCs w:val="0"/>
        </w:rPr>
        <w:t>Atraso -</w:t>
      </w:r>
      <w:r w:rsidRPr="006C3859">
        <w:t xml:space="preserve"> O caso concreto teve início em uma ação movida por um passageiro contra a Azul, após atraso e mudança no itinerário contratado. A Quinta Turma Recursal do Tribunal de Justiça do Estado do Rio de Janeiro (TJ-RJ), com fundamento no CDC, condenou a empresa a indenizar o passageiro por danos materiais e morais. A companhia recorreu ao STF, que reconheceu a repercussão geral da matéria, ou seja, a tese a ser fixada valerá para os demais processos semelhantes no Judiciário. No julgamento de mérito, ainda sem data prevista, o Plenário decidirá se a responsabilidade do transportador aéreo pelo dano decorrente de cancelamento, alteração ou atraso do transporte contratado deve ser regida pelo Código Brasileiro de Aeronáutica ou pelo Código de Defesa do Consumidor, considerando os princípios da livre iniciativa e as garantias de segurança jurídica, proteção ao consumidor e reparação por dano material, moral ou à imagem.</w:t>
      </w:r>
    </w:p>
    <w:p w:rsidR="003A0F97" w:rsidRPr="003A0F97" w:rsidRDefault="002044F8" w:rsidP="003A0F97">
      <w:pPr>
        <w:pStyle w:val="NormalWeb"/>
        <w:shd w:val="clear" w:color="auto" w:fill="FFFFFF"/>
        <w:spacing w:before="240" w:beforeAutospacing="0" w:after="0" w:afterAutospacing="0"/>
        <w:jc w:val="both"/>
        <w:textAlignment w:val="baseline"/>
      </w:pPr>
      <w:r>
        <w:t xml:space="preserve">STF </w:t>
      </w:r>
      <w:r w:rsidR="003A0F97" w:rsidRPr="003A0F97">
        <w:t>(ADI 7754, in Notícias STF 19.11.2025</w:t>
      </w:r>
      <w:r w:rsidR="003C114F">
        <w:t xml:space="preserve"> e Informativo STF 1200</w:t>
      </w:r>
      <w:r w:rsidR="003A0F97" w:rsidRPr="003A0F97">
        <w:t xml:space="preserve">) STF invalida norma do RJ que trata de transporte de animais de assistência emocional em cabines de aviões - </w:t>
      </w:r>
      <w:r w:rsidR="003A0F97" w:rsidRPr="003A0F97">
        <w:rPr>
          <w:spacing w:val="-5"/>
        </w:rPr>
        <w:t>Plenário entendeu que a norma estadual oferece proteção insuficiente aos passageiros quando comparada com a legislação federal -</w:t>
      </w:r>
      <w:r w:rsidR="003A0F97" w:rsidRPr="003A0F97">
        <w:t xml:space="preserve"> O Plenário do Supremo Tribunal Federal (STF) invalidou uma lei do Estado do Rio de Janeiro que previa o transporte gratuito de animais de suporte emocional e de serviço na cabine das aeronaves em rotas nacionais que tenham como origem ou destino o estado. O colegiado entendeu que, apesar dos bons propósitos, ela oferece proteção aquém das previstas na regulamentação federal sobre o tema.  A decisão foi tomada na sessão desta quarta-feira (19), no julgamento da Ação Direta de Inconstitucionalidade </w:t>
      </w:r>
      <w:r w:rsidR="003A0F97" w:rsidRPr="003A0F97">
        <w:rPr>
          <w:rStyle w:val="Forte"/>
          <w:rFonts w:eastAsiaTheme="majorEastAsia"/>
          <w:b w:val="0"/>
        </w:rPr>
        <w:t xml:space="preserve">(ADI) </w:t>
      </w:r>
      <w:r w:rsidR="003A0F97" w:rsidRPr="003A0F97">
        <w:rPr>
          <w:rStyle w:val="Forte"/>
          <w:rFonts w:eastAsiaTheme="majorEastAsia"/>
          <w:b w:val="0"/>
        </w:rPr>
        <w:lastRenderedPageBreak/>
        <w:t>7754</w:t>
      </w:r>
      <w:r w:rsidR="003A0F97" w:rsidRPr="003A0F97">
        <w:t>, apresentada pela Confederação Nacional do Transporte (CNT). </w:t>
      </w:r>
      <w:r w:rsidR="003A0F97" w:rsidRPr="003A0F97">
        <w:rPr>
          <w:rStyle w:val="Forte"/>
          <w:b w:val="0"/>
          <w:bCs w:val="0"/>
        </w:rPr>
        <w:t>Transporte gratuito </w:t>
      </w:r>
      <w:r w:rsidR="003A0F97" w:rsidRPr="003A0F97">
        <w:t>- A Lei estadual 10.489/2024 define como animais de assistência emocional os que são utilizados no controle e no suporte de paciente psiquiátrico, conforme laudo emitido por médico psiquiatra. Os animais de serviço seriam cães-guia, cães-ouvintes, cães de alerta e cães de serviço. As companhias aéreas poderiam rejeitar animais que não fossem facilmente acomodados na cabine, em razão do peso, raça e tamanho, os que representassem ameaça direta à saúde ou à segurança de outros passageiros ou pudessem causar interrupção significativa do serviço da cabine, entre outros critérios. Ainda segundo a norma, poderiam ser cobrados valores adicionais para o embarque de animais que não pudessem ser acomodados debaixo ou à frente do assento sem obstruir o corredor ou saídas de emergência. A lei entraria em vigor em 29/11/2024 e foi suspensa por liminar do ministro André Mendonça três dias antes. Na sessão de hoje, o relator propôs que a análise do referendo fosse convertida em julgamento de mérito. </w:t>
      </w:r>
      <w:r w:rsidR="003A0F97" w:rsidRPr="003A0F97">
        <w:rPr>
          <w:rStyle w:val="Forte"/>
          <w:b w:val="0"/>
          <w:bCs w:val="0"/>
        </w:rPr>
        <w:t xml:space="preserve">Proteção insuficiente - </w:t>
      </w:r>
      <w:r w:rsidR="003A0F97" w:rsidRPr="003A0F97">
        <w:t>Na sessão de hoje, o ministro André Mendonça explicou que a lei estadual trabalha com conceitos distintos (e mais restritos) do que os adotados nas normas federais. Como exemplo, citou que, na lei estadual, o animal de assistência emocional é destinado apenas a pacientes psiquiátricos, que precisam de um laudo médico que ateste a necessidade, enquanto as regras da Agência Brasileira de Aviação Civil (</w:t>
      </w:r>
      <w:proofErr w:type="spellStart"/>
      <w:r w:rsidR="003A0F97" w:rsidRPr="003A0F97">
        <w:t>Anac</w:t>
      </w:r>
      <w:proofErr w:type="spellEnd"/>
      <w:r w:rsidR="003A0F97" w:rsidRPr="003A0F97">
        <w:t xml:space="preserve">) trata de cão-guia e cão-guia de acompanhamento, categoria mais abrangente que se enquadra em qualquer situação de assistência especial. Ainda segundo o relator, a lei estadual prevê parâmetros amplos e indeterminados para que a empresa aérea recuse o transporte do animal, inclusive motivos operacionais. Isso, na sua avaliação, aumenta o risco de insegurança e de casuísmo. As normas federais, por outro lado, têm parâmetros objetivos, relacionados basicamente à identificação do animal. Mendonça assinalou também que a lei estadual permite a cobrança em determinados casos, enquanto as normas federais não permitem em nenhuma hipótese. Outro ponto destacado diz respeito ao número de animais: a lei fluminense estabelece apenas o mínimo de dois animais por voo, permitindo, na prática, a limitação a partir desse número, enquanto as regras federais não preveem quantidade mínima ou máxima de animais. “Por ser um direito do passageiro, o transporte não pode ser negado”, ressaltou. O voto do relator foi seguido integralmente pelos ministros Luiz </w:t>
      </w:r>
      <w:proofErr w:type="spellStart"/>
      <w:r w:rsidR="003A0F97" w:rsidRPr="003A0F97">
        <w:t>Fux</w:t>
      </w:r>
      <w:proofErr w:type="spellEnd"/>
      <w:r w:rsidR="003A0F97" w:rsidRPr="003A0F97">
        <w:t xml:space="preserve"> e Cristiano Zanin. </w:t>
      </w:r>
      <w:r w:rsidR="003A0F97" w:rsidRPr="003A0F97">
        <w:rPr>
          <w:rStyle w:val="Forte"/>
          <w:b w:val="0"/>
          <w:bCs w:val="0"/>
        </w:rPr>
        <w:t>Competência do estado</w:t>
      </w:r>
      <w:r w:rsidR="003A0F97" w:rsidRPr="003A0F97">
        <w:t xml:space="preserve"> - O relator ficou vencido no ponto em que considerava que a lei estadual teria invadido a competência da União para legislar sobre transporte. Nesse aspecto, prevaleceu o voto do ministro Alexandre de Moraes, para quem a norma não trata de transporte aéreo, mas de proteção e integração social das pessoas com deficiência, tema de competência concorrente dos estados e da União. Do ponto de vista material, no entanto, o ministro Alexandre seguiu o relator, por entender que a lei estadual, ao invés de ampliar a acessibilidade, acabou por limitar direitos protetivos das pessoas com deficiência.  Acompanharam seu voto a ministra </w:t>
      </w:r>
      <w:proofErr w:type="spellStart"/>
      <w:r w:rsidR="003A0F97" w:rsidRPr="003A0F97">
        <w:t>Cármen</w:t>
      </w:r>
      <w:proofErr w:type="spellEnd"/>
      <w:r w:rsidR="003A0F97" w:rsidRPr="003A0F97">
        <w:t xml:space="preserve"> Lúcia e os ministros Flávio Dino, Dias </w:t>
      </w:r>
      <w:proofErr w:type="spellStart"/>
      <w:r w:rsidR="003A0F97" w:rsidRPr="003A0F97">
        <w:t>Toffoli</w:t>
      </w:r>
      <w:proofErr w:type="spellEnd"/>
      <w:r w:rsidR="003A0F97" w:rsidRPr="003A0F97">
        <w:t xml:space="preserve"> e Edson </w:t>
      </w:r>
      <w:proofErr w:type="spellStart"/>
      <w:r w:rsidR="003A0F97" w:rsidRPr="003A0F97">
        <w:t>Fachin</w:t>
      </w:r>
      <w:proofErr w:type="spellEnd"/>
      <w:r w:rsidR="003A0F97" w:rsidRPr="003A0F97">
        <w:t>.</w:t>
      </w:r>
    </w:p>
    <w:p w:rsidR="00377CDD" w:rsidRPr="00377CDD" w:rsidRDefault="003A0F97" w:rsidP="00771449">
      <w:pPr>
        <w:pStyle w:val="NormalWeb"/>
        <w:shd w:val="clear" w:color="auto" w:fill="FFFFFF"/>
        <w:spacing w:before="240" w:beforeAutospacing="0" w:after="0" w:afterAutospacing="0"/>
        <w:jc w:val="both"/>
        <w:textAlignment w:val="baseline"/>
      </w:pPr>
      <w:r>
        <w:t xml:space="preserve">STF </w:t>
      </w:r>
      <w:r w:rsidR="00771449" w:rsidRPr="00771449">
        <w:t xml:space="preserve">(ADI 7852, </w:t>
      </w:r>
      <w:proofErr w:type="spellStart"/>
      <w:r w:rsidR="00771449" w:rsidRPr="00771449">
        <w:t>Conjur</w:t>
      </w:r>
      <w:proofErr w:type="spellEnd"/>
      <w:r w:rsidR="00771449" w:rsidRPr="00771449">
        <w:t xml:space="preserve"> 11.11.2025</w:t>
      </w:r>
      <w:r w:rsidR="00430776">
        <w:t xml:space="preserve"> e Informativo STF 1198</w:t>
      </w:r>
      <w:r w:rsidR="00771449" w:rsidRPr="00771449">
        <w:t>)</w:t>
      </w:r>
      <w:r w:rsidR="00377CDD">
        <w:t xml:space="preserve"> </w:t>
      </w:r>
      <w:proofErr w:type="spellStart"/>
      <w:r w:rsidR="00377CDD" w:rsidRPr="00377CDD">
        <w:rPr>
          <w:u w:val="single"/>
        </w:rPr>
        <w:t>Conjur</w:t>
      </w:r>
      <w:proofErr w:type="spellEnd"/>
      <w:r w:rsidR="00377CDD">
        <w:t>:</w:t>
      </w:r>
      <w:r w:rsidR="00771449" w:rsidRPr="00771449">
        <w:t xml:space="preserve"> PODE ACELERAR – Supremo invalida lei paulista que restringia </w:t>
      </w:r>
      <w:proofErr w:type="spellStart"/>
      <w:r w:rsidR="00771449" w:rsidRPr="00771449">
        <w:t>mototáxi</w:t>
      </w:r>
      <w:proofErr w:type="spellEnd"/>
      <w:r w:rsidR="00771449" w:rsidRPr="00771449">
        <w:t xml:space="preserve"> – </w:t>
      </w:r>
      <w:r w:rsidR="00771449" w:rsidRPr="00771449">
        <w:rPr>
          <w:color w:val="1F2125"/>
        </w:rPr>
        <w:t xml:space="preserve">O Plenário do Supremo Tribunal Federal declarou a inconstitucionalidade de uma lei do estado de São Paulo que regulamentava e restringia o transporte individual remunerado de passageiros por motocicleta — o </w:t>
      </w:r>
      <w:proofErr w:type="spellStart"/>
      <w:r w:rsidR="00771449" w:rsidRPr="00771449">
        <w:rPr>
          <w:color w:val="1F2125"/>
        </w:rPr>
        <w:t>mototáxi</w:t>
      </w:r>
      <w:proofErr w:type="spellEnd"/>
      <w:r w:rsidR="00771449" w:rsidRPr="00771449">
        <w:rPr>
          <w:color w:val="1F2125"/>
        </w:rPr>
        <w:t>. O julgamento virtual terminou nesta segunda-feira (10/11).</w:t>
      </w:r>
      <w:r w:rsidR="00771449" w:rsidRPr="00771449">
        <w:t xml:space="preserve"> </w:t>
      </w:r>
      <w:r w:rsidR="00771449" w:rsidRPr="00771449">
        <w:rPr>
          <w:color w:val="1F2125"/>
        </w:rPr>
        <w:t>Em setembro, o relator, ministro Alexandre de Moraes, havia </w:t>
      </w:r>
      <w:r w:rsidR="00771449" w:rsidRPr="00771449">
        <w:rPr>
          <w:bCs/>
          <w:color w:val="1F2125"/>
        </w:rPr>
        <w:t>suspendido</w:t>
      </w:r>
      <w:r w:rsidR="00771449" w:rsidRPr="00771449">
        <w:rPr>
          <w:color w:val="1F2125"/>
        </w:rPr>
        <w:t xml:space="preserve"> a norma. Na decisão, o ministro observou que o STF já fixou, no Tema 967 da repercussão geral, que proibir ou restringir o transporte por motorista de aplicativo é inconstitucional, por violar os princípios da livre iniciativa e da livre concorrência. Ainda segundo a tese, ao regulamentar a atividade, os municípios e o Distrito Federal não podem contrariar a legislação federal. </w:t>
      </w:r>
      <w:r w:rsidR="00771449" w:rsidRPr="00771449">
        <w:rPr>
          <w:color w:val="122F4D"/>
        </w:rPr>
        <w:t>Contexto -</w:t>
      </w:r>
      <w:r w:rsidR="00771449" w:rsidRPr="00771449">
        <w:rPr>
          <w:color w:val="1F2125"/>
        </w:rPr>
        <w:t xml:space="preserve"> A Lei estadual 18.156/2025, publicada em junho, passou a condicionar o exercício do serviço de </w:t>
      </w:r>
      <w:proofErr w:type="spellStart"/>
      <w:r w:rsidR="00771449" w:rsidRPr="00771449">
        <w:rPr>
          <w:color w:val="1F2125"/>
        </w:rPr>
        <w:t>mototáxi</w:t>
      </w:r>
      <w:proofErr w:type="spellEnd"/>
      <w:r w:rsidR="00771449" w:rsidRPr="00771449">
        <w:rPr>
          <w:color w:val="1F2125"/>
        </w:rPr>
        <w:t xml:space="preserve">, intermediado por empresas de aplicativo como </w:t>
      </w:r>
      <w:proofErr w:type="spellStart"/>
      <w:r w:rsidR="00771449" w:rsidRPr="00771449">
        <w:rPr>
          <w:color w:val="1F2125"/>
        </w:rPr>
        <w:t>Uber</w:t>
      </w:r>
      <w:proofErr w:type="spellEnd"/>
      <w:r w:rsidR="00771449" w:rsidRPr="00771449">
        <w:rPr>
          <w:color w:val="1F2125"/>
        </w:rPr>
        <w:t xml:space="preserve"> e 99, à prévia autorização dos municípios, sob pena de aplicação de sanções e multas por transporte ilegal de passageiros. A confederação argumentou que a lei invadiu a competência privativa da União para legislar sobre diretrizes da política nacional de transportes e sobre trânsito e transporte. Na avaliação da Confederação Nacional de Serviços (CNS), ao criar condições para o exercício de uma atividade econômica, a norma também viola os princípios da livre iniciativa e da livre concorrência e o direito de escolha do consumidor. Em informações prestadas nos autos, a Assembleia Legislativa do Estado de São Paulo (</w:t>
      </w:r>
      <w:proofErr w:type="spellStart"/>
      <w:r w:rsidR="00771449" w:rsidRPr="00771449">
        <w:rPr>
          <w:color w:val="1F2125"/>
        </w:rPr>
        <w:t>Alesp</w:t>
      </w:r>
      <w:proofErr w:type="spellEnd"/>
      <w:r w:rsidR="00771449" w:rsidRPr="00771449">
        <w:rPr>
          <w:color w:val="1F2125"/>
        </w:rPr>
        <w:t xml:space="preserve">) argumentou que a norma trata de proteção ao consumidor e à saúde. No mesmo sentido, o governador de São Paulo alegou que o estado tem competência para suplementar a legislação federal nesses temas. A Advocacia-Geral da União e a Procuradoria-Geral da </w:t>
      </w:r>
      <w:r w:rsidR="00771449" w:rsidRPr="00771449">
        <w:rPr>
          <w:color w:val="1F2125"/>
        </w:rPr>
        <w:lastRenderedPageBreak/>
        <w:t xml:space="preserve">República, por sua vez, consideraram que houve invasão da competência da União para legislar sobre trânsito e transporte. </w:t>
      </w:r>
      <w:r w:rsidR="00771449" w:rsidRPr="00771449">
        <w:rPr>
          <w:color w:val="122F4D"/>
        </w:rPr>
        <w:t>Voto do relator -</w:t>
      </w:r>
      <w:r w:rsidR="00771449" w:rsidRPr="00771449">
        <w:rPr>
          <w:color w:val="1F2125"/>
        </w:rPr>
        <w:t xml:space="preserve"> Alexandre votou por converter o julgamento de referendo de medida cautelar em julgamento definitivo de mérito, conhecer da ação e, confirmando a medida cautelar, julgar procedente a ADI. O relator acolheu as alegações, sustentando que a lei incorreu em inconstitucionalidade formal e material. Ele foi acompanhado na íntegra por Dias </w:t>
      </w:r>
      <w:proofErr w:type="spellStart"/>
      <w:r w:rsidR="00771449" w:rsidRPr="00771449">
        <w:rPr>
          <w:color w:val="1F2125"/>
        </w:rPr>
        <w:t>Toffoli</w:t>
      </w:r>
      <w:proofErr w:type="spellEnd"/>
      <w:r w:rsidR="00771449" w:rsidRPr="00771449">
        <w:rPr>
          <w:color w:val="1F2125"/>
        </w:rPr>
        <w:t xml:space="preserve">, Luiz Edson </w:t>
      </w:r>
      <w:proofErr w:type="spellStart"/>
      <w:r w:rsidR="00771449" w:rsidRPr="00771449">
        <w:rPr>
          <w:color w:val="1F2125"/>
        </w:rPr>
        <w:t>Fachin</w:t>
      </w:r>
      <w:proofErr w:type="spellEnd"/>
      <w:r w:rsidR="00771449" w:rsidRPr="00771449">
        <w:rPr>
          <w:color w:val="1F2125"/>
        </w:rPr>
        <w:t xml:space="preserve">, </w:t>
      </w:r>
      <w:proofErr w:type="spellStart"/>
      <w:r w:rsidR="00771449" w:rsidRPr="00771449">
        <w:rPr>
          <w:color w:val="1F2125"/>
        </w:rPr>
        <w:t>Cármen</w:t>
      </w:r>
      <w:proofErr w:type="spellEnd"/>
      <w:r w:rsidR="00771449" w:rsidRPr="00771449">
        <w:rPr>
          <w:color w:val="1F2125"/>
        </w:rPr>
        <w:t xml:space="preserve"> Lúcia, André Mendonça, Gilmar Mendes, </w:t>
      </w:r>
      <w:proofErr w:type="spellStart"/>
      <w:r w:rsidR="00771449" w:rsidRPr="00771449">
        <w:rPr>
          <w:color w:val="1F2125"/>
        </w:rPr>
        <w:t>Kassio</w:t>
      </w:r>
      <w:proofErr w:type="spellEnd"/>
      <w:r w:rsidR="00771449" w:rsidRPr="00771449">
        <w:rPr>
          <w:color w:val="1F2125"/>
        </w:rPr>
        <w:t xml:space="preserve"> Nunes Marques e Luiz </w:t>
      </w:r>
      <w:proofErr w:type="spellStart"/>
      <w:r w:rsidR="00771449" w:rsidRPr="00771449">
        <w:rPr>
          <w:color w:val="1F2125"/>
        </w:rPr>
        <w:t>Fux</w:t>
      </w:r>
      <w:proofErr w:type="spellEnd"/>
      <w:r w:rsidR="00771449" w:rsidRPr="00771449">
        <w:rPr>
          <w:color w:val="1F2125"/>
        </w:rPr>
        <w:t xml:space="preserve">. No voto, o ministro destacou a usurpação da competência privativa da União para legislar sobre diretrizes da política nacional de trânsito e transportes. Frisou, ainda, que a legislação federal já estabelece que a competência para regulamentar e fiscalizar o transporte remunerado individual de passageiros é exclusivamente municipal, e o estado não poderia intervir ou suplementar o tema de maneira a inovar o regime legal. O magistrado ainda apontou a inconstitucionalidade material por violação aos princípios da livre iniciativa e da livre concorrência, ao argumentar que o transporte individual de passageiros por aplicativo é uma atividade econômica lícita, protegida pelo princípio da livre iniciativa e não deve ser classificado como serviço público. “A circunstância de se tratar de transporte por meio de motocicletas poderia, em tese, justificar a regulamentação de aspectos relacionados a esse tipo de veículo. Inclusive, os motivos que embasaram a proposição legislativa que originou a norma impugnada, como narrado pela Assembleia do Estado de São Paulo, destacam dados oficiais sobre sinistros ocorridos no transporte por motocicleta”, escreveu. “Todavia, não há fator que </w:t>
      </w:r>
      <w:proofErr w:type="spellStart"/>
      <w:r w:rsidR="00771449" w:rsidRPr="00771449">
        <w:rPr>
          <w:color w:val="1F2125"/>
        </w:rPr>
        <w:t>distingua</w:t>
      </w:r>
      <w:proofErr w:type="spellEnd"/>
      <w:r w:rsidR="00771449" w:rsidRPr="00771449">
        <w:rPr>
          <w:color w:val="1F2125"/>
        </w:rPr>
        <w:t xml:space="preserve">, sob o aspecto jurídico, o transporte por aplicativos, seja por automóveis (carros) ou por motocicletas, devendo-se aplicar o mesmo entendimento firmado pela corte”, seguiu. A imposição de prévia autorização municipal para a atividade, segundo Alexandre, configura uma condição suspensiva e desproporcional e cria um obstáculo excessivo e desnecessário ao exercício profissional. O relator destacou a ineficácia e o risco da lei, ao dizer que o texto poderia incentivar a migração do serviço de </w:t>
      </w:r>
      <w:proofErr w:type="spellStart"/>
      <w:r w:rsidR="00771449" w:rsidRPr="00771449">
        <w:rPr>
          <w:color w:val="1F2125"/>
        </w:rPr>
        <w:t>mototáxi</w:t>
      </w:r>
      <w:proofErr w:type="spellEnd"/>
      <w:r w:rsidR="00771449" w:rsidRPr="00771449">
        <w:rPr>
          <w:color w:val="1F2125"/>
        </w:rPr>
        <w:t xml:space="preserve"> para a clandestinidade e violar o dever constitucional de proteção ao consumidor. “As restrições forçam os cidadãos a submeterem-se a alternativas potencialmente mais caras, mais lentas e menos eficientes, enfraquecendo o ambiente competitivo, em claro prejuízo ao consumidor. Isso porque é de conhecimento geral que o transporte individual de passageiros por aplicativos, em especial por motocicletas, possui custo mais acessível, significando alternativa robusta ao transporte público”, argumentou. </w:t>
      </w:r>
      <w:r w:rsidR="00771449" w:rsidRPr="00771449">
        <w:rPr>
          <w:color w:val="122F4D"/>
        </w:rPr>
        <w:t>Outros votos</w:t>
      </w:r>
      <w:r w:rsidR="00771449" w:rsidRPr="00771449">
        <w:rPr>
          <w:color w:val="1F2125"/>
        </w:rPr>
        <w:t xml:space="preserve"> - O ministro Flávio Dino </w:t>
      </w:r>
      <w:r w:rsidR="00771449" w:rsidRPr="00771449">
        <w:rPr>
          <w:bCs/>
          <w:color w:val="1F2125"/>
        </w:rPr>
        <w:t>acompanhou</w:t>
      </w:r>
      <w:r w:rsidR="00771449" w:rsidRPr="00771449">
        <w:rPr>
          <w:color w:val="1F2125"/>
        </w:rPr>
        <w:t xml:space="preserve"> o relator, mas fez algumas ressalvas que, segundo ele, devem ser debatidas em momento posterior. Ele aproveitou o voto para criticar os aplicativos de transporte e entrega, para além do </w:t>
      </w:r>
      <w:proofErr w:type="spellStart"/>
      <w:r w:rsidR="00771449" w:rsidRPr="00771449">
        <w:rPr>
          <w:color w:val="1F2125"/>
        </w:rPr>
        <w:t>mototáxi</w:t>
      </w:r>
      <w:proofErr w:type="spellEnd"/>
      <w:r w:rsidR="00771449" w:rsidRPr="00771449">
        <w:rPr>
          <w:color w:val="1F2125"/>
        </w:rPr>
        <w:t>. Segundo o magistrado, a atividade de transporte individual de passageiros por aplicativo não deve excluir um regime de direitos básicos aos prestadores de serviço, como férias, repouso remunerado, seguro contra acidentes e aposentadoria. Ele concluiu que, por causa da alta demanda dos aplicativos, trabalhadores exaustos acabam por prejudicar a segurança no trânsito das grandes cidades, sobretudo pedestres. E criticou a “</w:t>
      </w:r>
      <w:proofErr w:type="spellStart"/>
      <w:r w:rsidR="00771449" w:rsidRPr="00771449">
        <w:rPr>
          <w:bCs/>
          <w:color w:val="1F2125"/>
        </w:rPr>
        <w:t>gamificação</w:t>
      </w:r>
      <w:proofErr w:type="spellEnd"/>
      <w:r w:rsidR="00771449" w:rsidRPr="00771449">
        <w:rPr>
          <w:color w:val="1F2125"/>
        </w:rPr>
        <w:t>” feita pelas plataformas. “Seres humanos não são personagens de videogame, com múltiplas ‘vidas’ — a serem exploradas ao máximo e descartadas como um produto de consumo qualquer.” “Não é admissível que, eventualmente, empresas operadoras de alta tecnologia comportem-se como senhores de escravos do século 18, lucrando com o trabalho alheio executado em um regime excludente de direitos básicos”, criticou. Nenhum dos tópicos da ressalva está em debate na ADI sobre a lei estadual de São Paulo, mas os pontos levantados devem gerar debate no julgamento do recurso em que </w:t>
      </w:r>
      <w:r w:rsidR="00771449" w:rsidRPr="00771449">
        <w:rPr>
          <w:bCs/>
          <w:color w:val="1F2125"/>
        </w:rPr>
        <w:t>o Supremo vai tratar das relações de trabalho de motoristas e entregadores com os aplicativos</w:t>
      </w:r>
      <w:r w:rsidR="00771449" w:rsidRPr="00771449">
        <w:rPr>
          <w:color w:val="1F2125"/>
        </w:rPr>
        <w:t xml:space="preserve">. O ministro Cristiano Zanin também acompanhou Alexandre com uma pequena ressalva: os municípios podem regulamentar e fiscalizar a atividade de </w:t>
      </w:r>
      <w:proofErr w:type="spellStart"/>
      <w:r w:rsidR="00771449" w:rsidRPr="00771449">
        <w:rPr>
          <w:color w:val="1F2125"/>
        </w:rPr>
        <w:t>mototáxi</w:t>
      </w:r>
      <w:proofErr w:type="spellEnd"/>
      <w:r w:rsidR="00771449" w:rsidRPr="00771449">
        <w:rPr>
          <w:color w:val="1F2125"/>
        </w:rPr>
        <w:t>, o que inclui estabelecer “eventuais condicionantes ao exercício dela”, tendo em vista peculiaridades locais. O magistrado destacou que essa competência é garantida pela </w:t>
      </w:r>
      <w:r w:rsidR="00771449" w:rsidRPr="00771449">
        <w:rPr>
          <w:bCs/>
          <w:color w:val="1F2125"/>
        </w:rPr>
        <w:t>Lei 12.587/2012</w:t>
      </w:r>
      <w:r w:rsidR="00771449" w:rsidRPr="00771449">
        <w:rPr>
          <w:color w:val="1F2125"/>
        </w:rPr>
        <w:t> e pela </w:t>
      </w:r>
      <w:r w:rsidR="00771449" w:rsidRPr="00771449">
        <w:rPr>
          <w:bCs/>
          <w:color w:val="1F2125"/>
        </w:rPr>
        <w:t>jurisprudência do STF</w:t>
      </w:r>
      <w:r w:rsidR="00771449" w:rsidRPr="00771449">
        <w:rPr>
          <w:color w:val="1F2125"/>
        </w:rPr>
        <w:t>.</w:t>
      </w:r>
      <w:r w:rsidR="00377CDD">
        <w:rPr>
          <w:color w:val="1F2125"/>
        </w:rPr>
        <w:t xml:space="preserve"> </w:t>
      </w:r>
      <w:r w:rsidR="00377CDD" w:rsidRPr="00377CDD">
        <w:rPr>
          <w:u w:val="single"/>
        </w:rPr>
        <w:t>Informativo STF 1198</w:t>
      </w:r>
      <w:r w:rsidR="00377CDD">
        <w:t xml:space="preserve"> </w:t>
      </w:r>
      <w:r w:rsidR="00377CDD" w:rsidRPr="00377CDD">
        <w:t xml:space="preserve">(excertos): </w:t>
      </w:r>
      <w:r w:rsidR="00377CDD" w:rsidRPr="00377CDD">
        <w:rPr>
          <w:color w:val="000000"/>
        </w:rPr>
        <w:t>Conforme jurisprudência desta Corte, violam o regime constitucional de repartição de competências as legislações locais editadas com o objetivo de regulamentar serviços de transporte urbano em contrariedade ou sem o respaldo da legislação federal [</w:t>
      </w:r>
      <w:r w:rsidR="00377CDD" w:rsidRPr="00377CDD">
        <w:rPr>
          <w:color w:val="000000"/>
          <w:lang w:val="it-IT"/>
        </w:rPr>
        <w:t>Precedentes citados: </w:t>
      </w:r>
      <w:r w:rsidR="00377CDD" w:rsidRPr="00377CDD">
        <w:rPr>
          <w:lang w:val="it-IT"/>
        </w:rPr>
        <w:t>ADI 2.606</w:t>
      </w:r>
      <w:r w:rsidR="00377CDD" w:rsidRPr="00377CDD">
        <w:rPr>
          <w:color w:val="000000"/>
          <w:lang w:val="it-IT"/>
        </w:rPr>
        <w:t>, </w:t>
      </w:r>
      <w:r w:rsidR="00377CDD" w:rsidRPr="00377CDD">
        <w:rPr>
          <w:lang w:val="it-IT"/>
        </w:rPr>
        <w:t>ADI 3.135</w:t>
      </w:r>
      <w:r w:rsidR="00377CDD" w:rsidRPr="00377CDD">
        <w:rPr>
          <w:color w:val="000000"/>
          <w:lang w:val="it-IT"/>
        </w:rPr>
        <w:t>, </w:t>
      </w:r>
      <w:r w:rsidR="00377CDD" w:rsidRPr="00377CDD">
        <w:rPr>
          <w:lang w:val="it-IT"/>
        </w:rPr>
        <w:t>ADI 4.961</w:t>
      </w:r>
      <w:r w:rsidR="00377CDD" w:rsidRPr="00377CDD">
        <w:rPr>
          <w:color w:val="000000"/>
          <w:lang w:val="it-IT"/>
        </w:rPr>
        <w:t>, </w:t>
      </w:r>
      <w:r w:rsidR="00377CDD" w:rsidRPr="00377CDD">
        <w:rPr>
          <w:lang w:val="it-IT"/>
        </w:rPr>
        <w:t>ADI 3.136</w:t>
      </w:r>
      <w:r w:rsidR="00377CDD" w:rsidRPr="00377CDD">
        <w:rPr>
          <w:color w:val="000000"/>
          <w:lang w:val="it-IT"/>
        </w:rPr>
        <w:t>, </w:t>
      </w:r>
      <w:r w:rsidR="00377CDD" w:rsidRPr="00377CDD">
        <w:rPr>
          <w:lang w:val="it-IT"/>
        </w:rPr>
        <w:t>ADI 3.610</w:t>
      </w:r>
      <w:r w:rsidR="00377CDD" w:rsidRPr="00377CDD">
        <w:rPr>
          <w:color w:val="000000"/>
          <w:lang w:val="it-IT"/>
        </w:rPr>
        <w:t>, </w:t>
      </w:r>
      <w:r w:rsidR="00377CDD" w:rsidRPr="00377CDD">
        <w:rPr>
          <w:lang w:val="it-IT"/>
        </w:rPr>
        <w:t>ADI 3.679</w:t>
      </w:r>
      <w:r w:rsidR="00377CDD" w:rsidRPr="00377CDD">
        <w:rPr>
          <w:color w:val="000000"/>
          <w:lang w:val="it-IT"/>
        </w:rPr>
        <w:t>, </w:t>
      </w:r>
      <w:r w:rsidR="00377CDD" w:rsidRPr="00377CDD">
        <w:rPr>
          <w:lang w:val="it-IT"/>
        </w:rPr>
        <w:t>ADI 4.530</w:t>
      </w:r>
      <w:r w:rsidR="00377CDD" w:rsidRPr="00377CDD">
        <w:rPr>
          <w:color w:val="000000"/>
          <w:lang w:val="it-IT"/>
        </w:rPr>
        <w:t>, </w:t>
      </w:r>
      <w:r w:rsidR="00377CDD" w:rsidRPr="00377CDD">
        <w:rPr>
          <w:lang w:val="it-IT"/>
        </w:rPr>
        <w:t>ADI 4.293</w:t>
      </w:r>
      <w:r w:rsidR="00377CDD" w:rsidRPr="00377CDD">
        <w:rPr>
          <w:color w:val="000000"/>
          <w:lang w:val="it-IT"/>
        </w:rPr>
        <w:t> e </w:t>
      </w:r>
      <w:r w:rsidR="00377CDD" w:rsidRPr="00377CDD">
        <w:rPr>
          <w:lang w:val="it-IT"/>
        </w:rPr>
        <w:t>RE 1.054.110</w:t>
      </w:r>
      <w:r w:rsidR="00377CDD" w:rsidRPr="00377CDD">
        <w:rPr>
          <w:color w:val="000000"/>
          <w:lang w:val="it-IT"/>
        </w:rPr>
        <w:t> (</w:t>
      </w:r>
      <w:r w:rsidR="00377CDD" w:rsidRPr="00377CDD">
        <w:rPr>
          <w:lang w:val="it-IT"/>
        </w:rPr>
        <w:t>Tema 967 RG</w:t>
      </w:r>
      <w:r w:rsidR="00377CDD" w:rsidRPr="00377CDD">
        <w:rPr>
          <w:color w:val="000000"/>
          <w:lang w:val="it-IT"/>
        </w:rPr>
        <w:t>).</w:t>
      </w:r>
      <w:r w:rsidR="00377CDD" w:rsidRPr="00377CDD">
        <w:rPr>
          <w:color w:val="000000"/>
        </w:rPr>
        <w:t>]</w:t>
      </w:r>
      <w:r w:rsidR="00377CDD" w:rsidRPr="00377CDD">
        <w:t xml:space="preserve">. (...) </w:t>
      </w:r>
      <w:r w:rsidR="00377CDD" w:rsidRPr="00377CDD">
        <w:rPr>
          <w:color w:val="000000"/>
        </w:rPr>
        <w:t>Além disso, o transporte individual de passageiros, intermediado por plataformas digitais, não é definido como serviço público pela legislação federal, motivo pelo qual não se sujeita a regime jurídico de direito administrativo [</w:t>
      </w:r>
      <w:r w:rsidR="00377CDD" w:rsidRPr="00377CDD">
        <w:rPr>
          <w:color w:val="000000"/>
          <w:lang w:val="it-IT"/>
        </w:rPr>
        <w:t>Precedente citado: ADPF 449</w:t>
      </w:r>
      <w:r w:rsidR="00377CDD" w:rsidRPr="00377CDD">
        <w:rPr>
          <w:color w:val="000000"/>
        </w:rPr>
        <w:t>].</w:t>
      </w:r>
    </w:p>
    <w:p w:rsidR="00F317E1" w:rsidRDefault="00771449" w:rsidP="00F317E1">
      <w:pPr>
        <w:pStyle w:val="NormalWeb"/>
        <w:shd w:val="clear" w:color="auto" w:fill="FFFFFF"/>
        <w:spacing w:before="240" w:beforeAutospacing="0" w:after="0" w:afterAutospacing="0"/>
        <w:jc w:val="both"/>
        <w:textAlignment w:val="baseline"/>
      </w:pPr>
      <w:r>
        <w:lastRenderedPageBreak/>
        <w:t xml:space="preserve">STF </w:t>
      </w:r>
      <w:r w:rsidR="00F317E1" w:rsidRPr="00F317E1">
        <w:t xml:space="preserve">(RE 1366243, in Notícias STF 11.11.2025 – Tema 1234 RG) STF realiza audiência sobre regulamentação de preços de medicamentos pela Anvisa - </w:t>
      </w:r>
      <w:r w:rsidR="00F317E1" w:rsidRPr="00F317E1">
        <w:rPr>
          <w:spacing w:val="-5"/>
        </w:rPr>
        <w:t>Encontro foi convocado pelo ministro Gilmar Mendes para colher informações e ouvir especialistas sobre o tema -</w:t>
      </w:r>
      <w:r w:rsidR="00F317E1" w:rsidRPr="00F317E1">
        <w:t xml:space="preserve"> O Supremo Tribunal Federal (STF) realizou na segunda-feira (10) uma audiência com especialistas para discutir possíveis alterações no regulamento de precificação de medicamentos registrados pela Agência Nacional de Vigilância Sanitária (Anvisa). O tema é tratado no Recurso Extraordinário </w:t>
      </w:r>
      <w:r w:rsidR="00F317E1" w:rsidRPr="00F317E1">
        <w:rPr>
          <w:rStyle w:val="Forte"/>
          <w:b w:val="0"/>
        </w:rPr>
        <w:t>(RE) 1366243</w:t>
      </w:r>
      <w:r w:rsidR="00F317E1" w:rsidRPr="00F317E1">
        <w:t xml:space="preserve">, com repercussão geral (Tema 1.234), julgado pela Corte em outubro de 2024. Na abertura, o ministro Gilmar Mendes, relator do caso, destacou que o objetivo do encontro era colher informações sobre o processo de registro de preços de medicamentos, realizado conjuntamente ao pedido de registro do produto na Anvisa. Essa questão ficou pendente no julgamento do Tema 1.234. “Tenho plena convicção de que nos deparamos com um dos temas mais importantes para o Brasil no momento: a responsabilidade social, mais notadamente na área da saúde”, afirmou o ministro. “Penso que o tema da responsabilidade social, ao lado da responsabilidade fiscal, é um dos grandes desafios da nossa sociedade contemporânea.” Mendes ressaltou que os especialistas convidados deveriam responder às perguntas formuladas pelo gabinete, entre elas como aperfeiçoar a etapa de precificação e de que forma viabilizar a negociação governamental de novas tecnologias. Nove especialistas apresentaram diferentes perspectivas sobre o tema, abordando os desafios relacionados à </w:t>
      </w:r>
      <w:proofErr w:type="spellStart"/>
      <w:r w:rsidR="00F317E1" w:rsidRPr="00F317E1">
        <w:t>judicialização</w:t>
      </w:r>
      <w:proofErr w:type="spellEnd"/>
      <w:r w:rsidR="00F317E1" w:rsidRPr="00F317E1">
        <w:t xml:space="preserve"> e à precificação de medicamentos, os critérios de definição de preços, a necessidade de garantir o acesso da população aos tratamentos e os gastos do governo federal com sua aquisição. Ao fim da audiência, a Anvisa comprometeu-se a apresentar, até 1º de dezembro, propostas de alterações em seu marco regulatório para assegurar a precificação dos medicamentos até a publicação do respectivo registro.</w:t>
      </w:r>
    </w:p>
    <w:p w:rsidR="00F315E9" w:rsidRPr="00F315E9" w:rsidRDefault="00F315E9" w:rsidP="00F315E9">
      <w:pPr>
        <w:pStyle w:val="NormalWeb"/>
        <w:shd w:val="clear" w:color="auto" w:fill="FFFFFF"/>
        <w:spacing w:before="240" w:beforeAutospacing="0" w:after="0" w:afterAutospacing="0"/>
        <w:jc w:val="both"/>
        <w:textAlignment w:val="baseline"/>
        <w:rPr>
          <w:color w:val="000000"/>
        </w:rPr>
      </w:pPr>
      <w:r w:rsidRPr="00F315E9">
        <w:t xml:space="preserve">STF (ADI 7332, in Informativo STF 1197) </w:t>
      </w:r>
      <w:r w:rsidRPr="00F315E9">
        <w:rPr>
          <w:color w:val="000000"/>
        </w:rPr>
        <w:t>DIREITO CONSTITUCIONAL – REPARTIÇÃO DE COMPETÊNCIAS; ENERGIA ELÉTRICA; DIREITO AO MEIO AMBIENTE ECOLOGICAMENTE EQUILIBRADO - DIREITO ADMINISTRATIVO – SERVIÇOS PÚBLICOS; CONCESSÃO, PERMISSÃO OU AUTORIZAÇÃO; POLÍTICA DE TRANSIÇÃO ENERGÉTICA</w:t>
      </w:r>
      <w:bookmarkStart w:id="2" w:name="Instituição"/>
      <w:r w:rsidRPr="00F315E9">
        <w:t xml:space="preserve"> - </w:t>
      </w:r>
      <w:r w:rsidRPr="00F315E9">
        <w:rPr>
          <w:bCs/>
          <w:iCs/>
          <w:color w:val="000000"/>
        </w:rPr>
        <w:t>Instituição de política de transição energética justa no âmbito estadual</w:t>
      </w:r>
      <w:bookmarkEnd w:id="2"/>
      <w:r w:rsidRPr="00F315E9">
        <w:rPr>
          <w:bCs/>
          <w:iCs/>
          <w:color w:val="000000"/>
        </w:rPr>
        <w:t> </w:t>
      </w:r>
      <w:r w:rsidRPr="00F315E9">
        <w:rPr>
          <w:color w:val="000000"/>
        </w:rPr>
        <w:t xml:space="preserve">– </w:t>
      </w:r>
      <w:r w:rsidRPr="00F315E9">
        <w:rPr>
          <w:bCs/>
          <w:color w:val="000000"/>
        </w:rPr>
        <w:t>É inconstitucional — por violar as competências administrativa e legislativa da União para dispor sobre energia elétrica, bem como por interferir nas relações contratuais entre as concessionárias e o poder concedente federal (CF/1988, art. 21, XII, </w:t>
      </w:r>
      <w:r w:rsidRPr="00F315E9">
        <w:rPr>
          <w:bCs/>
          <w:i/>
          <w:iCs/>
          <w:color w:val="000000"/>
        </w:rPr>
        <w:t>b</w:t>
      </w:r>
      <w:r w:rsidRPr="00F315E9">
        <w:rPr>
          <w:bCs/>
          <w:color w:val="000000"/>
        </w:rPr>
        <w:t xml:space="preserve">; 22, IV; e 175) — norma estadual que obriga as empresas geradoras, transmissoras e distribuidoras de energia a destinarem percentual mínimo de seus recursos a projetos específicos. </w:t>
      </w:r>
      <w:r w:rsidRPr="00F315E9">
        <w:rPr>
          <w:color w:val="000000"/>
        </w:rPr>
        <w:t>Compete à União disciplinar a exploração, a legislação e as condições contratuais do setor elétrico, de modo que apenas lei federal pode fixar percentuais e critérios para aplicação de receitas. Como essa matéria já é regulada pela Lei nº 9.991/2000, com as alterações da Lei nº 15.103/2025, inexiste espaço para atuação legislativa dos estados. Na espécie, o Estado de Santa Catarina, ao determinar que empresas do setor elétrico invistam, no mínimo, 5% dos recursos destinados à pesquisa em projetos de desenvolvimento tecnológico, além de usurpar a competência constitucional da União, interferiu indevidamente nas relações contratuais entre as concessionárias e o poder concedente federal [Precedentes citados: </w:t>
      </w:r>
      <w:r w:rsidRPr="00F315E9">
        <w:t>ADI 5.927</w:t>
      </w:r>
      <w:r w:rsidRPr="00F315E9">
        <w:rPr>
          <w:color w:val="000000"/>
        </w:rPr>
        <w:t>, </w:t>
      </w:r>
      <w:r w:rsidRPr="00F315E9">
        <w:t>RE 827.538</w:t>
      </w:r>
      <w:r w:rsidRPr="00F315E9">
        <w:rPr>
          <w:color w:val="000000"/>
        </w:rPr>
        <w:t> (</w:t>
      </w:r>
      <w:r w:rsidRPr="00F315E9">
        <w:t>Tema 774 RG</w:t>
      </w:r>
      <w:r w:rsidRPr="00F315E9">
        <w:rPr>
          <w:color w:val="000000"/>
        </w:rPr>
        <w:t>) e </w:t>
      </w:r>
      <w:r w:rsidRPr="00F315E9">
        <w:t>ADI 3.824</w:t>
      </w:r>
      <w:r w:rsidRPr="00F315E9">
        <w:rPr>
          <w:color w:val="000000"/>
        </w:rPr>
        <w:t xml:space="preserve">.]. </w:t>
      </w:r>
      <w:r w:rsidRPr="00F315E9">
        <w:rPr>
          <w:bCs/>
          <w:color w:val="000000"/>
        </w:rPr>
        <w:t xml:space="preserve">É constitucional — e não viola o direito fundamental ao meio ambiente ecologicamente equilibrado (CF/1988, art. 225) — a lei catarinense que institui a política de transição energética justa direcionada à redução das emissões de carbono, em especial, a diminuição progressiva do uso de carvão na geração elétrica. </w:t>
      </w:r>
      <w:r w:rsidRPr="00F315E9">
        <w:rPr>
          <w:color w:val="000000"/>
        </w:rPr>
        <w:t>Na espécie, não há que se falar em proteção insuficiente ao meio ambiente, na medida em que a lei estadual impugnada, em linhas gerais, se limita a enunciar princípios e diretrizes de baixa densidade normativa, isto é, sem estabelecer regras concretas que permitam aferição objetiva de eventual omissão. A análise dos princípios e objetivos da política pública estadual revela a intenção de compatibilizar a proteção ambiental com o desenvolvimento econômico e social, mediante uma transição gradual, baseada em modelos energéticos sustentáveis e de baixa emissão de carbono, em conformidade com o equilíbrio exigido pela Constituição. Assim, são legítimas as escolhas referentes ao ritmo e à forma de realização dessa política pública. Com base nesses e em outros entendimentos, o Plenário, por maioria, julgou parcialmente p</w:t>
      </w:r>
      <w:r w:rsidRPr="00F315E9">
        <w:rPr>
          <w:color w:val="000000"/>
          <w:shd w:val="clear" w:color="auto" w:fill="FFFFFF"/>
        </w:rPr>
        <w:t>rocedente a ação para declarar a inconstitucionalidade </w:t>
      </w:r>
      <w:r w:rsidRPr="00F315E9">
        <w:rPr>
          <w:color w:val="000000"/>
        </w:rPr>
        <w:t>do § 5º do art. 34 da Lei nº 18.330/2022 do Estado de Santa Catarina</w:t>
      </w:r>
      <w:r w:rsidRPr="00F315E9">
        <w:rPr>
          <w:color w:val="0000FF"/>
        </w:rPr>
        <w:t>.</w:t>
      </w:r>
    </w:p>
    <w:p w:rsidR="00C065C3" w:rsidRPr="00F8792C" w:rsidRDefault="00F317E1" w:rsidP="00C065C3">
      <w:pPr>
        <w:pStyle w:val="NormalWeb"/>
        <w:shd w:val="clear" w:color="auto" w:fill="FFFFFF"/>
        <w:spacing w:before="240" w:beforeAutospacing="0" w:after="0" w:afterAutospacing="0"/>
        <w:jc w:val="both"/>
        <w:textAlignment w:val="baseline"/>
      </w:pPr>
      <w:r>
        <w:t xml:space="preserve">STF </w:t>
      </w:r>
      <w:r w:rsidR="00C065C3" w:rsidRPr="00F8792C">
        <w:t xml:space="preserve">(ADPF 635, in Notícias STF 10.11.2025) STF requer informações adicionais de autoridades do RJ sobre operação nos Complexos do Alemão e da Penha - </w:t>
      </w:r>
      <w:r w:rsidR="00C065C3" w:rsidRPr="00F8792C">
        <w:rPr>
          <w:spacing w:val="-5"/>
        </w:rPr>
        <w:t xml:space="preserve">Decisão do ministro Alexandre de Moraes ocorre após informações apresentadas nos autos pelo governo estadual, por órgãos públicos e por entidades da </w:t>
      </w:r>
      <w:r w:rsidR="00C065C3" w:rsidRPr="00F8792C">
        <w:rPr>
          <w:spacing w:val="-5"/>
        </w:rPr>
        <w:lastRenderedPageBreak/>
        <w:t>sociedade civil -</w:t>
      </w:r>
      <w:r w:rsidR="00C065C3" w:rsidRPr="00F8792C">
        <w:t xml:space="preserve"> O ministro Alexandre de Moraes, do Supremo Tribunal Federal (STF), determinou novas providências e o envio de informações adicionais sobre a “Operação Contenção”, realizada no último dia 28 nos Complexos do Alemão e da Penha, no Rio de Janeiro. Ao governo do Rio de Janeiro foi determinada a preservação das imagens das câmeras corporais usadas por policiais da operação, bem como o envio da relação dos agentes que utilizaram o equipamento. Também devem ser encaminhadas à Corte cópias de todos os laudos necroscópicos, com registros fotográficos e dados sobre projéteis. A decisão foi tomada no âmbito da Arguição de Descumprimento de Preceito Fundamental </w:t>
      </w:r>
      <w:r w:rsidR="00C065C3" w:rsidRPr="00F8792C">
        <w:rPr>
          <w:rStyle w:val="Forte"/>
          <w:b w:val="0"/>
        </w:rPr>
        <w:t>(ADPF) 635</w:t>
      </w:r>
      <w:r w:rsidR="00C065C3" w:rsidRPr="00F8792C">
        <w:t xml:space="preserve"> (ADPF das Favelas), após a apresentação, nos autos, de informações referentes à operação. Ao Tribunal de Justiça do Estado do Rio de Janeiro (TJ-RJ), o ministro requereu a relação das pessoas com mandado de prisão que foram efetivamente presas e daquelas detidas que não constavam em mandados. O TJ-RJ também deve enviar os resultados das audiências de custódia realizadas. Em relação ao Ministério Público fluminense (MP-RJ), o ministro determinou o envio de relatórios e cópias dos laudos realizados por sua perícia técnica independente, bem como de cópia do procedimento investigatório instaurado após a realização da operação. Já a Defensoria Pública estadual deve informar se está sendo garantido o acesso às provas e a todos os procedimentos necessários para o acompanhamento e a assistência às famílias dos mortos. Na decisão, o ministro Alexandre também suspendeu o inquérito policial aberto pela 22ª Delegacia da Penha, que investiga familiares de vítimas por terem removido corpos do local. </w:t>
      </w:r>
      <w:r w:rsidR="00C065C3" w:rsidRPr="00F8792C">
        <w:rPr>
          <w:rStyle w:val="Forte"/>
          <w:b w:val="0"/>
          <w:bCs w:val="0"/>
        </w:rPr>
        <w:t>Mandados e perícias</w:t>
      </w:r>
      <w:r w:rsidR="00C065C3" w:rsidRPr="00F8792C">
        <w:t xml:space="preserve"> - Um dos pontos que precisam ser esclarecidos é número de mandados de prisão e de busca e apreensão expedidos pelo juízo da 42ª Vara Criminal da Capital e que foram efetivamente cumpridos. Além disso, a relação das pessoas presas ou que faleceram durante a realização da operação. O ministro também levou em conta relatos convergentes apresentados na audiência com órgãos e representantes da sociedade civil, que apontaram dificuldades das famílias para ter acesso ao teor das perícias, precariedade dos serviços de perícia criminal, abertura de inquérito pela Polícia Civil do Rio de Janeiro contra familiares de vítimas em razão da remoção dos corpos do local de confronto com a polícia, questionamentos quanto à integridade dos procedimentos adotados para a preservação de provas e dificuldades para o exercício das atribuições das defensorias públicas. Na decisão, o ministro determinou ainda a suspensão de reclamação em trâmite no Conselho Nacional do Ministério Público (CNMP), que teria paralisado pedidos do Ministério Público Federal (MPF) relativos à operação. O CNMP deve enviar informações sobre o caso. Segundo o ministro Alexandre, a atuação do MPF se dá no exercício de atribuições conferidas pelo Supremo na ADPF, e não se confundem com o exercício do controle externo da atividade policial estadual a ser exercido pelo Ministério Público do Estado do Rio de Janeiro.</w:t>
      </w:r>
    </w:p>
    <w:p w:rsidR="00C065C3" w:rsidRPr="00F8792C" w:rsidRDefault="00C065C3" w:rsidP="00C065C3">
      <w:pPr>
        <w:pStyle w:val="NormalWeb"/>
        <w:shd w:val="clear" w:color="auto" w:fill="FFFFFF"/>
        <w:spacing w:before="240" w:beforeAutospacing="0" w:after="0" w:afterAutospacing="0"/>
        <w:jc w:val="both"/>
        <w:textAlignment w:val="baseline"/>
      </w:pPr>
      <w:r w:rsidRPr="00F8792C">
        <w:t xml:space="preserve">STF (ADPF 635, in Notícias STF 05.11.2025) STF realiza audiências para debater operações policiais no Rio de Janeiro e cumprimento da ADPF 635 - </w:t>
      </w:r>
      <w:r w:rsidRPr="00F8792C">
        <w:rPr>
          <w:spacing w:val="-5"/>
        </w:rPr>
        <w:t>Ministro Alexandre de Moraes conduziu a audiência conjunta -</w:t>
      </w:r>
      <w:r w:rsidRPr="00F8792C">
        <w:t xml:space="preserve"> Na manhã desta quarta-feira (5), o ministro Alexandre de Moraes ouviu representantes de diversas entidades que atuam na área de direitos humanos, em audiência conjunta para tratar da operação policial realizada na semana passada no Rio de Janeiro, que resultou em mais de 120 mortes. A reunião foi convocada pelo ministro no âmbito da Arguição de Descumprimento de Preceito Fundamental (ADPF) 635. Na abertura, ele anunciou que, por determinação anterior do Plenário do STF, a Polícia Federal instaurou inquérito para apurar dois aspectos específicos relacionados ao enfrentamento ao crime organizado: o funcionamento dos esquemas de lavagem de dinheiro no Rio de Janeiro e a infiltração de organizações criminosas no Poder Público. Segundo o ministro, é essencial que o Estado responda como recuperar territórios dominados por organizações criminosas. </w:t>
      </w:r>
      <w:r w:rsidRPr="00F8792C">
        <w:rPr>
          <w:rStyle w:val="Forte"/>
          <w:rFonts w:eastAsiaTheme="majorEastAsia"/>
          <w:b w:val="0"/>
          <w:bCs w:val="0"/>
        </w:rPr>
        <w:t>Ministério Público -</w:t>
      </w:r>
      <w:r w:rsidRPr="00F8792C">
        <w:t xml:space="preserve"> O representante da Procuradoria-Geral da República (PGR), </w:t>
      </w:r>
      <w:proofErr w:type="spellStart"/>
      <w:r w:rsidRPr="00F8792C">
        <w:t>Nicolao</w:t>
      </w:r>
      <w:proofErr w:type="spellEnd"/>
      <w:r w:rsidRPr="00F8792C">
        <w:t xml:space="preserve"> Dino, ressaltou que o Estado brasileiro vem sendo cobrado por organismos internacionais devido ao elevado índice de letalidade policial. De acordo com ele, o Sistema Interamericano de Direitos Humanos, vinculado à Organização dos Estados Americanos (OEA), e a Organização das Nações Unidas (ONU) já emitiram 368 recomendações ao Brasil sobre o tema. Para o subprocurador-geral, dois pontos são fundamentais na apuração dos fatos e no enfrentamento da letalidade policial no âmbito da ADPF: o fortalecimento dos mecanismos de controle externo da atividade policial pelo Ministério Público e a realização de investigações conduzidas por perícia técnica isenta e independente, capaz de analisar com rigor todos os aspectos relacionados ao caso ocorrido no Rio de Janeiro. Participaram da audiência representantes do Centro pela Justiça e Direito Internacional, Coletivo Fala </w:t>
      </w:r>
      <w:proofErr w:type="spellStart"/>
      <w:r w:rsidRPr="00F8792C">
        <w:t>Akari</w:t>
      </w:r>
      <w:proofErr w:type="spellEnd"/>
      <w:r w:rsidRPr="00F8792C">
        <w:t xml:space="preserve">, Conectas Direitos Humanos, Conselho Nacional de Direitos Humanos (CNDH), </w:t>
      </w:r>
      <w:r w:rsidRPr="00F8792C">
        <w:lastRenderedPageBreak/>
        <w:t xml:space="preserve">Defensoria Pública da União, </w:t>
      </w:r>
      <w:proofErr w:type="spellStart"/>
      <w:r w:rsidRPr="00F8792C">
        <w:t>Educafro</w:t>
      </w:r>
      <w:proofErr w:type="spellEnd"/>
      <w:r w:rsidRPr="00F8792C">
        <w:t>, Iniciativa Direito à Memória e Justiça Racial, Instituto de Defesa da População Negra, Instituto de Advocacia Racial e Ambiental/ Movimento Negro Unificado, Instituto de Estudos da Religião (ISER), Instituto Papo Reto, Justiça Global, Laboratório de Direitos Humanos, Mães de Manguinhos, Núcleo de Assessoria Jurídica Popular (</w:t>
      </w:r>
      <w:proofErr w:type="spellStart"/>
      <w:r w:rsidRPr="00F8792C">
        <w:t>Najup</w:t>
      </w:r>
      <w:proofErr w:type="spellEnd"/>
      <w:r w:rsidRPr="00F8792C">
        <w:t xml:space="preserve">), Rede Contra a Violência, Redes da Maré. Entre os principais pontos trazidos pelas instituições estão a necessidade de investigação e perícias independentes, imparciais e transparentes, além do arquivamento dos inquéritos abertos contra familiares, entre outros. </w:t>
      </w:r>
      <w:r w:rsidRPr="00F8792C">
        <w:rPr>
          <w:rStyle w:val="Forte"/>
          <w:rFonts w:eastAsiaTheme="majorEastAsia"/>
          <w:b w:val="0"/>
          <w:bCs w:val="0"/>
        </w:rPr>
        <w:t>Audiências no Rio de Janeiro</w:t>
      </w:r>
      <w:r w:rsidRPr="00F8792C">
        <w:t xml:space="preserve"> - Na segunda-feira (3), o ministro Alexandre de Moraes conduziu audiências com autoridades do Rio de Janeiro para tratar do cumprimento das decisões do STF no âmbito da ADPF 635. A primeira audiência ocorreu com o governador do Rio de Janeiro, Cláudio Castro, e outras autoridades da área de segurança pública para entender o contexto da operação policial realizada na terça-feira (28/10). A audiência transcorreu normalmente, o ministro fez perguntas e autoridades responderam. Apresentaram relatório com dados que será enviado posteriormente. Na sequência, o ministro conheceu o sistema de </w:t>
      </w:r>
      <w:proofErr w:type="spellStart"/>
      <w:r w:rsidRPr="00F8792C">
        <w:t>videomonitoramento</w:t>
      </w:r>
      <w:proofErr w:type="spellEnd"/>
      <w:r w:rsidRPr="00F8792C">
        <w:t xml:space="preserve"> e as ferramentas tecnológicas utilizadas no enfrentamento ao crime na capital do estado. Participaram da audiência os secretários de Segurança Pública, Victor dos Santos; de Polícia Militar, Marcelo de Menezes; e de Polícia Civil, Felipe Curi, além de representantes do Conselho Nacional do Ministério Público e do Conselho Nacional de Justiça. Ainda no Rio de Janeiro, o ministro teve audiências com o presidente do Tribunal de Justiça do Rio de Janeiro (TJ-RJ), Ricardo Rodrigues Cardozo, com o procurador-geral de Justiça do Estado do Rio de Janeiro, </w:t>
      </w:r>
      <w:proofErr w:type="spellStart"/>
      <w:r w:rsidRPr="00F8792C">
        <w:t>Antonio</w:t>
      </w:r>
      <w:proofErr w:type="spellEnd"/>
      <w:r w:rsidRPr="00F8792C">
        <w:t xml:space="preserve"> José Campos Moreira, com defensor público-geral do Estado do Rio de Janeiro, Paulo Vinícius </w:t>
      </w:r>
      <w:proofErr w:type="spellStart"/>
      <w:r w:rsidRPr="00F8792C">
        <w:t>Cozzolino</w:t>
      </w:r>
      <w:proofErr w:type="spellEnd"/>
      <w:r w:rsidRPr="00F8792C">
        <w:t xml:space="preserve"> Abrahão, e com o prefeito do Rio, Eduardo Paes. </w:t>
      </w:r>
      <w:r w:rsidRPr="00F8792C">
        <w:rPr>
          <w:rStyle w:val="Forte"/>
          <w:rFonts w:eastAsiaTheme="majorEastAsia"/>
          <w:b w:val="0"/>
          <w:bCs w:val="0"/>
        </w:rPr>
        <w:t>Encerramento</w:t>
      </w:r>
      <w:r w:rsidRPr="00F8792C">
        <w:t xml:space="preserve"> - No encerramento da audiência desta quarta (5), o ministro Alexandre de Moraes reafirmou o compromisso do STF de acompanhar de perto as medidas cabíveis. Ele apontou como problema central a falta de autonomia e estrutura da Polícia Técnico-Científica do Rio de Janeiro, destacando que a subordinação à Polícia Civil compromete a independência das investigações. O ministro reiterou a necessidade de fortalecer o controle externo da atividade policial pelo Ministério Público, com atuação preventiva e independente. Informou ter requisitado imagens das ações para verificar eventual uso excessivo da força e afirmou que a Polícia Federal seguirá à frente da investigação macro, especialmente no rastreamento financeiro das facções, considerando que o enfraquecimento econômico das milícias e do tráfico é condição essencial para a redução da violência.</w:t>
      </w:r>
    </w:p>
    <w:p w:rsidR="00FE77A6" w:rsidRPr="00FE77A6" w:rsidRDefault="00AB6906" w:rsidP="00FE77A6">
      <w:pPr>
        <w:pStyle w:val="NormalWeb"/>
        <w:shd w:val="clear" w:color="auto" w:fill="FFFFFF"/>
        <w:spacing w:before="240" w:beforeAutospacing="0" w:after="0" w:afterAutospacing="0"/>
        <w:jc w:val="both"/>
        <w:textAlignment w:val="baseline"/>
      </w:pPr>
      <w:r w:rsidRPr="00FE77A6">
        <w:t xml:space="preserve">STF </w:t>
      </w:r>
      <w:r w:rsidR="00FE77A6" w:rsidRPr="00FE77A6">
        <w:t xml:space="preserve">(RE 1366243 - Tema 1234, in Jota Jornal 04.11.2025) TRATAMENTOS DE ALTO CUSTO - STF fará audiências para tratar de registro de preços de medicamentos e painel nacional - </w:t>
      </w:r>
      <w:r w:rsidR="00FE77A6" w:rsidRPr="00FE77A6">
        <w:rPr>
          <w:bCs/>
        </w:rPr>
        <w:t xml:space="preserve">Por determinação do ministro Gilmar Mendes, especialistas deverão comparecer ao Supremo nos dias 10/11 e 1º/12 - </w:t>
      </w:r>
      <w:r w:rsidR="00FE77A6" w:rsidRPr="00FE77A6">
        <w:t xml:space="preserve"> O ministro Gilmar Mendes, do Supremo Tribunal Federal (STF), convocou nesta terça-feira (04/11) duas audiências para tratar de dois pontos do acordo entre União, estados e municípios sobre a </w:t>
      </w:r>
      <w:proofErr w:type="spellStart"/>
      <w:r w:rsidR="00FE77A6" w:rsidRPr="00FE77A6">
        <w:t>judicialização</w:t>
      </w:r>
      <w:proofErr w:type="spellEnd"/>
      <w:r w:rsidR="00FE77A6" w:rsidRPr="00FE77A6">
        <w:t xml:space="preserve"> e incorporação de medicamentos de alto custo. A decisão foi dada no RE 1366243 (Tema 1234), com relatoria do ministro decano. Em 10 de novembro, às 14h, serão ouvidos especialistas sobre o cumprimento da determinação a respeito do registro de preço dos medicamentos na Agência Nacional de Vigilância Sanitária (Anvisa) e outras questões envolvendo a precificação de novas tecnologias, inclusive terapias avançadas e submissão à </w:t>
      </w:r>
      <w:proofErr w:type="spellStart"/>
      <w:r w:rsidR="00FE77A6" w:rsidRPr="00FE77A6">
        <w:t>Conitec</w:t>
      </w:r>
      <w:proofErr w:type="spellEnd"/>
      <w:r w:rsidR="00FE77A6" w:rsidRPr="00FE77A6">
        <w:t xml:space="preserve">. Em 1 de dezembro, às 14h, a audiência debaterá a plataforma nacional de medicamentos no Sistema Único de Saúde (SUS). Ambas as reuniões serão híbridas, com a condução do ministro Gilmar Mendes no STF e a possibilidade de participação remota. Para o encontro sobre precificação, foram convidados sete especialistas, entre os quais: </w:t>
      </w:r>
      <w:proofErr w:type="spellStart"/>
      <w:r w:rsidR="00FE77A6" w:rsidRPr="00FE77A6">
        <w:t>Ludhmila</w:t>
      </w:r>
      <w:proofErr w:type="spellEnd"/>
      <w:r w:rsidR="00FE77A6" w:rsidRPr="00FE77A6">
        <w:t xml:space="preserve"> Abrahão </w:t>
      </w:r>
      <w:proofErr w:type="spellStart"/>
      <w:r w:rsidR="00FE77A6" w:rsidRPr="00FE77A6">
        <w:t>Hajjar</w:t>
      </w:r>
      <w:proofErr w:type="spellEnd"/>
      <w:r w:rsidR="00FE77A6" w:rsidRPr="00FE77A6">
        <w:t xml:space="preserve"> (médica cardiologista), deputado Dr. Luizinho, Marcos Pinto (Secretário de Reformas Econômicas do Ministério da Fazenda), e Leandro </w:t>
      </w:r>
      <w:proofErr w:type="spellStart"/>
      <w:r w:rsidR="00FE77A6" w:rsidRPr="00FE77A6">
        <w:t>Safatle</w:t>
      </w:r>
      <w:proofErr w:type="spellEnd"/>
      <w:r w:rsidR="00FE77A6" w:rsidRPr="00FE77A6">
        <w:t xml:space="preserve"> (diretor presidente da Anvisa). Já a segunda audiência, sobre o painel nacional de medicamentos, ouvirá os integrantes da subcomissão de TI criada para analisar as demandas do caso. Conforme o ministro relator, as questões envolvendo a precificação de medicamentos e a criação, operacionalização e implementação da plataforma nacional da saúde envolvem uma “governança judicial colaborativa”. Para o ministro, trata-se de “intervenção judicial voltada a enfrentar as causas da excessiva </w:t>
      </w:r>
      <w:proofErr w:type="spellStart"/>
      <w:r w:rsidR="00FE77A6" w:rsidRPr="00FE77A6">
        <w:t>judicialização</w:t>
      </w:r>
      <w:proofErr w:type="spellEnd"/>
      <w:r w:rsidR="00FE77A6" w:rsidRPr="00FE77A6">
        <w:t xml:space="preserve"> da saúde pública, ainda em construção e constante modificação com propósito de aperfeiçoamento".</w:t>
      </w:r>
    </w:p>
    <w:p w:rsidR="00FF4BF2" w:rsidRDefault="00FE77A6" w:rsidP="006C7FAD">
      <w:pPr>
        <w:pStyle w:val="NormalWeb"/>
        <w:shd w:val="clear" w:color="auto" w:fill="FFFFFF"/>
        <w:spacing w:before="240" w:beforeAutospacing="0" w:after="0" w:afterAutospacing="0"/>
        <w:jc w:val="both"/>
        <w:textAlignment w:val="baseline"/>
      </w:pPr>
      <w:r>
        <w:t xml:space="preserve">STF </w:t>
      </w:r>
      <w:r w:rsidR="00FF4BF2">
        <w:t>(RE 979742 – TEMA 952 RG</w:t>
      </w:r>
      <w:r w:rsidR="00D249FB">
        <w:t>, in Repercussão Geral em Pauta nº 354</w:t>
      </w:r>
      <w:r w:rsidR="00FF4BF2">
        <w:t xml:space="preserve">) Título: Conflito entre a liberdade religiosa e o dever do Estado de assegurar prestações de saúde universais e igualitárias. O Tribunal fixou a seguinte tese: “1. Testemunhas de Jeová, quando maiores e capazes, têm o direito de </w:t>
      </w:r>
      <w:r w:rsidR="00FF4BF2">
        <w:lastRenderedPageBreak/>
        <w:t>recusar procedimento médico que envolva transfusão de sangue, com base na autonomia individual e na liberdade religiosa. 2. Como consequência, em respeito ao direito à vida e à saúde, fazem jus aos procedimentos alternativos disponíveis no Sistema Único de Saúde - SUS, podendo, se necessário, recorrer a tratamento fora de seu domicílio.”</w:t>
      </w:r>
    </w:p>
    <w:p w:rsidR="006C7FAD" w:rsidRPr="006C7FAD" w:rsidRDefault="00FF4BF2" w:rsidP="006C7FAD">
      <w:pPr>
        <w:pStyle w:val="NormalWeb"/>
        <w:shd w:val="clear" w:color="auto" w:fill="FFFFFF"/>
        <w:spacing w:before="240" w:beforeAutospacing="0" w:after="0" w:afterAutospacing="0"/>
        <w:jc w:val="both"/>
        <w:textAlignment w:val="baseline"/>
      </w:pPr>
      <w:r>
        <w:t xml:space="preserve">STF </w:t>
      </w:r>
      <w:r w:rsidR="006C7FAD" w:rsidRPr="006C7FAD">
        <w:t xml:space="preserve">(ARE 1475103, in </w:t>
      </w:r>
      <w:proofErr w:type="spellStart"/>
      <w:r w:rsidR="006C7FAD" w:rsidRPr="006C7FAD">
        <w:t>Conjur</w:t>
      </w:r>
      <w:proofErr w:type="spellEnd"/>
      <w:r w:rsidR="006C7FAD" w:rsidRPr="006C7FAD">
        <w:t xml:space="preserve"> 03.11.2025) PROMOÇÃO PESSOAL – É inconstitucional nomear prédio público em homenagem a pessoa viva, diz STF -  </w:t>
      </w:r>
      <w:r w:rsidR="006C7FAD" w:rsidRPr="006C7FAD">
        <w:rPr>
          <w:color w:val="1F2125"/>
        </w:rPr>
        <w:t xml:space="preserve">O uso de nome de pessoa viva para denominar bens e ruas públicas é inconstitucional por violar os princípios da moralidade e da impessoalidade. Com esse entendimento, o ministro Luiz </w:t>
      </w:r>
      <w:proofErr w:type="spellStart"/>
      <w:r w:rsidR="006C7FAD" w:rsidRPr="006C7FAD">
        <w:rPr>
          <w:color w:val="1F2125"/>
        </w:rPr>
        <w:t>Fux</w:t>
      </w:r>
      <w:proofErr w:type="spellEnd"/>
      <w:r w:rsidR="006C7FAD" w:rsidRPr="006C7FAD">
        <w:rPr>
          <w:color w:val="1F2125"/>
        </w:rPr>
        <w:t>, do Supremo Tribunal Federal, negou provimento a um recurso extraordinário ajuizado pelo município de Atibaia (SP).</w:t>
      </w:r>
      <w:r w:rsidR="006C7FAD" w:rsidRPr="006C7FAD">
        <w:t xml:space="preserve"> </w:t>
      </w:r>
      <w:r w:rsidR="006C7FAD" w:rsidRPr="006C7FAD">
        <w:rPr>
          <w:color w:val="1F2125"/>
        </w:rPr>
        <w:t>O caso trata de ação popular ajuizada pelo advogado </w:t>
      </w:r>
      <w:r w:rsidR="006C7FAD" w:rsidRPr="006C7FAD">
        <w:rPr>
          <w:rStyle w:val="Forte"/>
          <w:b w:val="0"/>
          <w:color w:val="1F2125"/>
        </w:rPr>
        <w:t xml:space="preserve">Cléber Stevens </w:t>
      </w:r>
      <w:proofErr w:type="spellStart"/>
      <w:r w:rsidR="006C7FAD" w:rsidRPr="006C7FAD">
        <w:rPr>
          <w:rStyle w:val="Forte"/>
          <w:b w:val="0"/>
          <w:color w:val="1F2125"/>
        </w:rPr>
        <w:t>Gerage</w:t>
      </w:r>
      <w:proofErr w:type="spellEnd"/>
      <w:r w:rsidR="006C7FAD" w:rsidRPr="006C7FAD">
        <w:rPr>
          <w:b/>
          <w:color w:val="1F2125"/>
        </w:rPr>
        <w:t> </w:t>
      </w:r>
      <w:r w:rsidR="006C7FAD" w:rsidRPr="006C7FAD">
        <w:rPr>
          <w:color w:val="1F2125"/>
        </w:rPr>
        <w:t>contra o município por causa da Lei Municipal 4.704/2019, que deu a um centro educacional o nome de Flávio Callegari, que é ex-prefeito de Atibaia e está vivo.</w:t>
      </w:r>
      <w:r w:rsidR="006C7FAD" w:rsidRPr="006C7FAD">
        <w:t xml:space="preserve"> </w:t>
      </w:r>
      <w:r w:rsidR="006C7FAD" w:rsidRPr="006C7FAD">
        <w:rPr>
          <w:color w:val="1F2125"/>
        </w:rPr>
        <w:t>O Tribunal de Justiça de São Paulo julgou a ação procedente porque a </w:t>
      </w:r>
      <w:r w:rsidR="006C7FAD" w:rsidRPr="006C7FAD">
        <w:rPr>
          <w:rFonts w:eastAsiaTheme="majorEastAsia"/>
          <w:bCs/>
          <w:color w:val="1F2125"/>
        </w:rPr>
        <w:t>Lei 6.454/1977</w:t>
      </w:r>
      <w:r w:rsidR="006C7FAD" w:rsidRPr="006C7FAD">
        <w:rPr>
          <w:color w:val="1F2125"/>
        </w:rPr>
        <w:t> proíbe, em todo o território nacional, atribuir nome de pessoa viva a bem público de qualquer natureza.</w:t>
      </w:r>
      <w:r w:rsidR="006C7FAD" w:rsidRPr="006C7FAD">
        <w:t xml:space="preserve"> </w:t>
      </w:r>
      <w:r w:rsidR="006C7FAD" w:rsidRPr="006C7FAD">
        <w:rPr>
          <w:color w:val="1F2125"/>
        </w:rPr>
        <w:t xml:space="preserve">Ao STF, o município alegou que a lei federal em questão não se aplica aos casos municipais. E apontou também que não cabe o uso da ação popular para declarar a inconstitucionalidade de uma lei municipal. </w:t>
      </w:r>
      <w:r w:rsidR="006C7FAD" w:rsidRPr="006C7FAD">
        <w:rPr>
          <w:color w:val="122F4D"/>
        </w:rPr>
        <w:t>Princípios ofendidos -</w:t>
      </w:r>
      <w:r w:rsidR="006C7FAD" w:rsidRPr="006C7FAD">
        <w:t xml:space="preserve"> </w:t>
      </w:r>
      <w:r w:rsidR="006C7FAD" w:rsidRPr="006C7FAD">
        <w:rPr>
          <w:color w:val="1F2125"/>
        </w:rPr>
        <w:t xml:space="preserve">Na decisão, </w:t>
      </w:r>
      <w:proofErr w:type="spellStart"/>
      <w:r w:rsidR="006C7FAD" w:rsidRPr="006C7FAD">
        <w:rPr>
          <w:color w:val="1F2125"/>
        </w:rPr>
        <w:t>Fux</w:t>
      </w:r>
      <w:proofErr w:type="spellEnd"/>
      <w:r w:rsidR="006C7FAD" w:rsidRPr="006C7FAD">
        <w:rPr>
          <w:color w:val="1F2125"/>
        </w:rPr>
        <w:t xml:space="preserve"> destacou que o Supremo tem jurisprudência pacificada no sentido de proibir o uso de nomes de pessoas vivas para denominar bens e logradouros públicos.</w:t>
      </w:r>
      <w:r w:rsidR="006C7FAD" w:rsidRPr="006C7FAD">
        <w:t xml:space="preserve"> </w:t>
      </w:r>
      <w:r w:rsidR="006C7FAD" w:rsidRPr="006C7FAD">
        <w:rPr>
          <w:color w:val="1F2125"/>
        </w:rPr>
        <w:t>O entendimento é de que a prática é contrária a princípios constitucionais, especialmente os da moralidade e da impessoalidade, conforme estabelecido no artigo 37 da Constituição Federal.</w:t>
      </w:r>
      <w:r w:rsidR="006C7FAD" w:rsidRPr="006C7FAD">
        <w:t xml:space="preserve"> </w:t>
      </w:r>
      <w:r w:rsidR="006C7FAD" w:rsidRPr="006C7FAD">
        <w:rPr>
          <w:color w:val="1F2125"/>
        </w:rPr>
        <w:t>“Ao nomear um bem público com o nome de uma pessoa viva, a unidade federativa não apenas compromete o patrimônio público, promovendo a promoção pessoal de um indivíduo, o que não é a finalidade dos bens do Estado, mas também viola os princípios da moralidade e da impessoalidade”, argumentou.</w:t>
      </w:r>
    </w:p>
    <w:p w:rsidR="009A3A8C" w:rsidRPr="009A3A8C" w:rsidRDefault="006C7FAD" w:rsidP="009A3A8C">
      <w:pPr>
        <w:pStyle w:val="NormalWeb"/>
        <w:shd w:val="clear" w:color="auto" w:fill="FFFFFF"/>
        <w:spacing w:before="240" w:beforeAutospacing="0" w:after="0" w:afterAutospacing="0"/>
        <w:jc w:val="both"/>
        <w:textAlignment w:val="baseline"/>
      </w:pPr>
      <w:r>
        <w:t xml:space="preserve">STF </w:t>
      </w:r>
      <w:r w:rsidR="009A3A8C" w:rsidRPr="009A3A8C">
        <w:t xml:space="preserve">(ADI 7852, in </w:t>
      </w:r>
      <w:proofErr w:type="spellStart"/>
      <w:r w:rsidR="009A3A8C" w:rsidRPr="009A3A8C">
        <w:t>Conjur</w:t>
      </w:r>
      <w:proofErr w:type="spellEnd"/>
      <w:r w:rsidR="009A3A8C" w:rsidRPr="009A3A8C">
        <w:t xml:space="preserve"> 03.11.2025) COM O RELATOR – Dino vota pela inconstitucionalidade de lei que regulamenta </w:t>
      </w:r>
      <w:proofErr w:type="spellStart"/>
      <w:r w:rsidR="009A3A8C" w:rsidRPr="009A3A8C">
        <w:t>mototáxi</w:t>
      </w:r>
      <w:proofErr w:type="spellEnd"/>
      <w:r w:rsidR="009A3A8C" w:rsidRPr="009A3A8C">
        <w:t xml:space="preserve"> em SP e critica </w:t>
      </w:r>
      <w:proofErr w:type="spellStart"/>
      <w:r w:rsidR="009A3A8C" w:rsidRPr="009A3A8C">
        <w:t>apps</w:t>
      </w:r>
      <w:proofErr w:type="spellEnd"/>
      <w:r w:rsidR="009A3A8C" w:rsidRPr="009A3A8C">
        <w:t xml:space="preserve"> - A posição é do ministro Flávio Dino, que acompanhou o relator, Alexandre de Moraes, em ação sobre o tema em julgamento virtual no Supremo Tribunal Federal. A corte está apreciando o referendo da decisão monocrática de Moraes que, em setembro, </w:t>
      </w:r>
      <w:r w:rsidR="009A3A8C" w:rsidRPr="009A3A8C">
        <w:rPr>
          <w:bCs/>
        </w:rPr>
        <w:t>suspendeu a eficácia</w:t>
      </w:r>
      <w:r w:rsidR="009A3A8C" w:rsidRPr="009A3A8C">
        <w:t xml:space="preserve"> da norma paulista. A Lei 18.156/2025 condicionou o serviço à prévia autorização dos municípios, sob pena de aplicação de sanções e multas por transporte ilegal de passageiros. A regra conflita com a lei federal (Lei 13.640/2018), que afirma que a competência para essa regulamentação é exclusiva dos municípios e do Distrito Federal. Alexandre afirmou, na decisão de setembro, que proibir ou restringir o transporte por motorista de aplicativo é inconstitucional, por violar os princípios da livre iniciativa e da livre concorrência. Ainda segundo o ministro, ao regulamentar a atividade, os municípios e o Distrito Federal não podem contrariar a norma federal, conforme estipulado pelo Tema 967 de repercussão geral. Para além do </w:t>
      </w:r>
      <w:proofErr w:type="spellStart"/>
      <w:r w:rsidR="009A3A8C" w:rsidRPr="009A3A8C">
        <w:t>mototáxi</w:t>
      </w:r>
      <w:proofErr w:type="spellEnd"/>
      <w:r w:rsidR="009A3A8C" w:rsidRPr="009A3A8C">
        <w:t xml:space="preserve"> - Dino acompanhou Moraes e estabeleceu ressalvas que devem ser debatidas em momento posterior. Ele aproveitou o voto para criticar os aplicativos de transporte e entrega. Segundo o ministro, a atividade de transporte individual de passageiros por aplicativo não deve excluir um regime de direitos básicos aos prestadores de serviço, como férias, repouso remunerado, seguro contra acidentes e aposentadoria. Ele citou que trabalhadores exaustos, devido à alta demanda dos aplicativos, acabam por prejudicar a segurança no trânsito das grandes cidades, sobretudo pedestres. E criticou a “</w:t>
      </w:r>
      <w:proofErr w:type="spellStart"/>
      <w:r w:rsidR="009A3A8C" w:rsidRPr="009A3A8C">
        <w:rPr>
          <w:bCs/>
        </w:rPr>
        <w:t>gamificação</w:t>
      </w:r>
      <w:proofErr w:type="spellEnd"/>
      <w:r w:rsidR="009A3A8C" w:rsidRPr="009A3A8C">
        <w:t xml:space="preserve">” feita pelas plataformas. “Seres humanos não são personagens de videogame, com múltiplas </w:t>
      </w:r>
      <w:r w:rsidR="009A3A8C">
        <w:t>‘vidas’ -</w:t>
      </w:r>
      <w:r w:rsidR="009A3A8C" w:rsidRPr="009A3A8C">
        <w:t xml:space="preserve"> a serem exploradas ao máximo e descartadas como um produto de consumo qualquer.” “Não é admissível que, eventualmente, empresas operadoras de alta tecnologia comportem-se como senhores de escravos do século 18, lucrando com o trabalho alheio executado em um regime excludente de direitos básicos”, criticou. Julgamento à vista - Nenhum dos tópicos da ressalva está em debate na ADI sobre a lei estadual de São Paulo, mas os pontos levantados devem gerar debate no julgamento do recurso em que </w:t>
      </w:r>
      <w:r w:rsidR="009A3A8C" w:rsidRPr="009A3A8C">
        <w:rPr>
          <w:bCs/>
        </w:rPr>
        <w:t>o Supremo vai tratar das relações de trabalho de motoristas e entregadores com os aplicativos</w:t>
      </w:r>
      <w:r w:rsidR="009A3A8C" w:rsidRPr="009A3A8C">
        <w:t xml:space="preserve">. O Plenário já ouviu as sustentações orais, mas ninguém votou ainda. O julgamento será retomado presencialmente em 3 de dezembro. O relator é o ministro Luiz Edson </w:t>
      </w:r>
      <w:proofErr w:type="spellStart"/>
      <w:r w:rsidR="009A3A8C" w:rsidRPr="009A3A8C">
        <w:t>Fachin</w:t>
      </w:r>
      <w:proofErr w:type="spellEnd"/>
      <w:r w:rsidR="009A3A8C" w:rsidRPr="009A3A8C">
        <w:t>, presidente da corte.</w:t>
      </w:r>
    </w:p>
    <w:p w:rsidR="00395610" w:rsidRPr="00395610" w:rsidRDefault="009A3A8C" w:rsidP="00395610">
      <w:pPr>
        <w:pStyle w:val="NormalWeb"/>
        <w:shd w:val="clear" w:color="auto" w:fill="FFFFFF"/>
        <w:spacing w:before="240" w:beforeAutospacing="0" w:after="0" w:afterAutospacing="0"/>
        <w:jc w:val="both"/>
        <w:textAlignment w:val="baseline"/>
      </w:pPr>
      <w:r>
        <w:t xml:space="preserve">STF </w:t>
      </w:r>
      <w:r w:rsidR="00AB6906" w:rsidRPr="00395610">
        <w:t xml:space="preserve">(RE 1177984, in Notícias STF 30.10.2025) Relator vota pela nulidade de provas obtidas sem aviso prévio ao preso do direito ao silêncio - </w:t>
      </w:r>
      <w:r w:rsidR="00AB6906" w:rsidRPr="00395610">
        <w:rPr>
          <w:spacing w:val="-5"/>
        </w:rPr>
        <w:t>Relator do recurso sobre a matéria, presidente da Corte considerou que a medida é garantia constitucional contra a autoincriminação; matéria tem repercussão geral -</w:t>
      </w:r>
      <w:r w:rsidR="00AB6906" w:rsidRPr="00395610">
        <w:t xml:space="preserve"> O presidente </w:t>
      </w:r>
      <w:r w:rsidR="00AB6906" w:rsidRPr="00395610">
        <w:lastRenderedPageBreak/>
        <w:t xml:space="preserve">do Supremo Tribunal Federal (STF), ministro Edson </w:t>
      </w:r>
      <w:proofErr w:type="spellStart"/>
      <w:r w:rsidR="00AB6906" w:rsidRPr="00395610">
        <w:t>Fachin</w:t>
      </w:r>
      <w:proofErr w:type="spellEnd"/>
      <w:r w:rsidR="00AB6906" w:rsidRPr="00395610">
        <w:t>, votou na sessão plenária desta quinta-feira (30), pelo reconhecimento da nulidade de provas colhidas sem que a pessoa abordada pela polícia tenha sido previamente informada sobre o direito constitucional de permanecer em silêncio. Relator do Recurso Extraordinário </w:t>
      </w:r>
      <w:r w:rsidR="00AB6906" w:rsidRPr="00395610">
        <w:rPr>
          <w:rStyle w:val="Forte"/>
          <w:b w:val="0"/>
        </w:rPr>
        <w:t>(RE) 1177984</w:t>
      </w:r>
      <w:r w:rsidR="00AB6906" w:rsidRPr="00395610">
        <w:t>, com repercussão geral reconhecida (</w:t>
      </w:r>
      <w:r w:rsidR="00AB6906" w:rsidRPr="00395610">
        <w:rPr>
          <w:rStyle w:val="Forte"/>
          <w:b w:val="0"/>
        </w:rPr>
        <w:t>Tema 1.185</w:t>
      </w:r>
      <w:r w:rsidR="00AB6906" w:rsidRPr="00395610">
        <w:t xml:space="preserve">), </w:t>
      </w:r>
      <w:proofErr w:type="spellStart"/>
      <w:r w:rsidR="00AB6906" w:rsidRPr="00395610">
        <w:t>Fachin</w:t>
      </w:r>
      <w:proofErr w:type="spellEnd"/>
      <w:r w:rsidR="00AB6906" w:rsidRPr="00395610">
        <w:t xml:space="preserve"> afirmou que o direito ao silêncio, previsto no artigo 5º, inciso LXIII, da Constituição Federal, é uma garantia fundamental contra a autoincriminação e deve ser assegurada desde o primeiro contato com agentes do Estado, como no momento da prisão ou do cumprimento de medida cautelar, e não apenas durante o interrogatório formal. Segundo o ministro, a ausência dessa advertência viola o devido processo legal e torna ilícitas as declarações e provas obtidas nessas circunstâncias. “É justamente no momento da detenção ou abordagem policial que a garantia constitucional assume maior relevância, por se tratar de uma situação em que o poder estatal se intensifica e a vulnerabilidade do indivíduo é acentuada”, ressaltou. </w:t>
      </w:r>
      <w:proofErr w:type="spellStart"/>
      <w:r w:rsidR="00AB6906" w:rsidRPr="00395610">
        <w:t>Fachin</w:t>
      </w:r>
      <w:proofErr w:type="spellEnd"/>
      <w:r w:rsidR="00AB6906" w:rsidRPr="00395610">
        <w:t xml:space="preserve"> explicou que não há previsão em nossa legislação para “interrogatórios ou confissões informais”. Essa prática policial viola direitos fundamentais, especialmente o direito ao silêncio e à não autoincriminação, bem como as regras contidas no Código de Processo Penal que disciplinam o ato de interrogatório. Ele destacou ainda que cabe ao Estado comprovar que a comunicação sobre o direito foi efetivamente realizada no momento da abordagem, devendo o ato ser registrado preferencialmente por meio audiovisual e juntado aos autos. </w:t>
      </w:r>
      <w:r w:rsidR="00AB6906" w:rsidRPr="00395610">
        <w:rPr>
          <w:rStyle w:val="Forte"/>
          <w:b w:val="0"/>
          <w:bCs w:val="0"/>
        </w:rPr>
        <w:t>Caso paradigma</w:t>
      </w:r>
      <w:r w:rsidR="00AB6906" w:rsidRPr="00395610">
        <w:t xml:space="preserve"> - O caso concreto teve origem em São Paulo e envolve a condenação de um casal por posse ilegal de armas e munições. Durante o cumprimento de mandado de busca e apreensão, a mulher teria admitido espontaneamente a posse de uma pistola, sem ter sido informada de seu direito de permanecer calada. O Tribunal de Justiça paulista manteve a condenação, entendendo que a advertência seria obrigatória apenas na fase de interrogatório judicial. O relator votou para acolher o recurso do casal e declarar a nulidade das confissões informais e das provas delas derivadas, absolvendo a mulher por ausência de provas autônomas e mantendo a condenação do homem por existirem elementos independentes que comprovavam o crime. </w:t>
      </w:r>
      <w:r w:rsidR="00AB6906" w:rsidRPr="00395610">
        <w:rPr>
          <w:rStyle w:val="Forte"/>
          <w:b w:val="0"/>
          <w:bCs w:val="0"/>
        </w:rPr>
        <w:t>Tese de repercussão geral -</w:t>
      </w:r>
      <w:r w:rsidR="00AB6906" w:rsidRPr="00395610">
        <w:t xml:space="preserve"> Em seu voto, o ministro propôs a seguinte tese de repercussão geral (Tema 1.185): “1. O direito ao silêncio é assegurado a toda pessoa cuja declaração possa implicar responsabilidade penal, devendo o agente estatal informá-la de forma imediata, seja no momento da prisão, da imposição de medida cautelar ou antes de qualquer ato de inquirição. 2. A advertência deve conter a informação expressa de que o silêncio não implica confissão nem pode ser interpretado em prejuízo da defesa. 3. A ausência de comunicação prévia e expressa torna ilícitas as declarações obtidas e as provas delas derivadas, tanto em abordagens quanto em interrogatórios. 4. Compete ao Estado demonstrar que o direito ao silêncio foi efetivamente observado no momento da abordagem ou do interrogatório. 5. A comunicação deve ser registrada preferencialmente por meio audiovisual ou, subsidiariamente, por documento escrito acompanhado de comunicação oral. 6. As teses terão vigência a partir da data do julgamento, ressalvados os processos já em curso com nulidade arguida”.</w:t>
      </w:r>
      <w:r w:rsidR="00395610" w:rsidRPr="00395610">
        <w:t xml:space="preserve"> Pedido de vista suspende julgamento sobre dever de informar direito ao silêncio em abordagem policial - </w:t>
      </w:r>
      <w:r w:rsidR="00395610" w:rsidRPr="00395610">
        <w:rPr>
          <w:spacing w:val="-5"/>
        </w:rPr>
        <w:t>Julgamento tem três votos proferidos, e o ministro André Mendonça pediu mais tempo para analisar o tema</w:t>
      </w:r>
      <w:r w:rsidR="00395610" w:rsidRPr="00395610">
        <w:t xml:space="preserve"> - O Supremo Tribunal Federal (STF) retomou, nesta quinta-feira (29), o julgamento do recurso em que se discute a obrigatoriedade de informar ao preso o direito ao silêncio no momento da abordagem policial, e não somente no interrogatório formal. A apreciação do Recurso Extraordinário (RE) 1177984, com repercussão geral (Tema 1.185), foi suspensa por pedido de vista do ministro André Mendonça. Até o momento, votaram o relator, ministro Edson </w:t>
      </w:r>
      <w:proofErr w:type="spellStart"/>
      <w:r w:rsidR="00395610" w:rsidRPr="00395610">
        <w:t>Fachin</w:t>
      </w:r>
      <w:proofErr w:type="spellEnd"/>
      <w:r w:rsidR="00395610" w:rsidRPr="00395610">
        <w:t xml:space="preserve">, e os ministros Flávio Dino e Cristiano Zanin. </w:t>
      </w:r>
      <w:r w:rsidR="00395610" w:rsidRPr="00395610">
        <w:rPr>
          <w:rStyle w:val="Forte"/>
          <w:b w:val="0"/>
          <w:bCs w:val="0"/>
        </w:rPr>
        <w:t>Caso concreto</w:t>
      </w:r>
      <w:r w:rsidR="00395610" w:rsidRPr="00395610">
        <w:rPr>
          <w:b/>
          <w:bCs/>
        </w:rPr>
        <w:t xml:space="preserve"> - </w:t>
      </w:r>
      <w:r w:rsidR="00395610" w:rsidRPr="00395610">
        <w:t>O caso teve origem em São Paulo, após a condenação de um casal por posse ilegal de armas e munições. Durante o cumprimento do mandado de busca e apreensão, a mulher teria admitido espontaneamente a posse de uma pistola, sem ter sido informada de seu direito de permanecer calada. O Tribunal de Justiça paulista manteve a condenação, entendendo que a advertência seria obrigatória apenas na fase de interrogatório judicial. </w:t>
      </w:r>
      <w:r w:rsidR="00395610" w:rsidRPr="00395610">
        <w:rPr>
          <w:rStyle w:val="Forte"/>
          <w:b w:val="0"/>
          <w:bCs w:val="0"/>
        </w:rPr>
        <w:t>Votos</w:t>
      </w:r>
      <w:r w:rsidR="00395610" w:rsidRPr="00395610">
        <w:rPr>
          <w:b/>
          <w:bCs/>
        </w:rPr>
        <w:t> -</w:t>
      </w:r>
      <w:r w:rsidR="00395610" w:rsidRPr="00395610">
        <w:t xml:space="preserve"> Relator do processo, o presidente do STF, ministro Edson </w:t>
      </w:r>
      <w:proofErr w:type="spellStart"/>
      <w:r w:rsidR="00395610" w:rsidRPr="00395610">
        <w:t>Fachin</w:t>
      </w:r>
      <w:proofErr w:type="spellEnd"/>
      <w:r w:rsidR="00395610" w:rsidRPr="00395610">
        <w:t xml:space="preserve">, votou para acolher o recurso e firmar a tese de que o direito ao silêncio, previsto no artigo 5º, inciso LXIII, da Constituição Federal, é aplicável desde a abordagem policial. Para ele, qualquer declaração colhida sem a advertência prévia de que a pessoa pode permanecer calada é ilícita, assim como as provas derivadas. </w:t>
      </w:r>
      <w:proofErr w:type="spellStart"/>
      <w:r w:rsidR="00395610" w:rsidRPr="00395610">
        <w:t>Fachin</w:t>
      </w:r>
      <w:proofErr w:type="spellEnd"/>
      <w:r w:rsidR="00395610" w:rsidRPr="00395610">
        <w:t xml:space="preserve"> considera ainda que cabe ao Estado comprovar que a comunicação foi feita, preferencialmente por meio audiovisual. O ministro Flávio Dino acompanhou o relator apenas na tese de que a advertência é obrigatória, mas apresentou ressalvas de alcance prático. Para ele, o dever de advertir não se aplica a buscas pessoais realizadas nas situações previstas no artigo 244 do Código de Processo Penal (prisão, fundada suspeita de que a pessoa esteja com arma proibida ou vestígios de crime ou no </w:t>
      </w:r>
      <w:r w:rsidR="00395610" w:rsidRPr="00395610">
        <w:lastRenderedPageBreak/>
        <w:t>curso de busca domiciliar). Também não cabe, na sua avaliação, em situações como revistas em estádios, aeroportos ou situações emergenciais, nas quais não há interrogatório formal. No caso concreto, Dino votou por manter a condenação. O ministro Cristiano Zanin também acompanhou a linha do relator quanto à ilicitude das confissões informais sem advertência, mas admite que ela seja dispensada em situações de urgência ou impossibilidade manifesta. O ministro sugeriu o reconhecimento de um “direito qualificado ao esclarecimento” que permita corrigir vícios de comunicação em depoimentos posteriores. No caso concreto, Zanin votou pelo provimento parcial do recurso para retirar as provas ilícitas do processo e remetê-lo à primeira instância, para que o juiz reavalie as demais provas válidas.</w:t>
      </w:r>
    </w:p>
    <w:p w:rsidR="00E80C2F" w:rsidRPr="00E80C2F" w:rsidRDefault="00AB6906" w:rsidP="00E80C2F">
      <w:pPr>
        <w:pStyle w:val="NormalWeb"/>
        <w:shd w:val="clear" w:color="auto" w:fill="FFFFFF"/>
        <w:spacing w:before="240" w:beforeAutospacing="0" w:after="0" w:afterAutospacing="0"/>
        <w:jc w:val="both"/>
        <w:textAlignment w:val="baseline"/>
      </w:pPr>
      <w:r>
        <w:t xml:space="preserve">STF </w:t>
      </w:r>
      <w:r w:rsidR="00E80C2F" w:rsidRPr="00E80C2F">
        <w:t xml:space="preserve">(RE 1177984, in Notícias STF 29.10.2025) STF inicia julgamento sobre dever de informar direito ao silêncio em abordagem policial - </w:t>
      </w:r>
      <w:r w:rsidR="00E80C2F" w:rsidRPr="00E80C2F">
        <w:rPr>
          <w:spacing w:val="-5"/>
        </w:rPr>
        <w:t>Continuação do julgamento está prevista para esta quinta-feira (30), com os votos dos ministros -</w:t>
      </w:r>
      <w:r w:rsidR="00E80C2F" w:rsidRPr="00E80C2F">
        <w:t xml:space="preserve"> O Supremo Tribunal Federal (STF) iniciou, nesta quarta-feira (29), o julgamento do recurso em que se discute a obrigatoriedade de informar ao preso o direito ao silêncio no momento da abordagem policial, e não somente no interrogatório formal. O julgamento deve prosseguir na sessão de quinta-feira (30). O Recurso Extraordinário (RE) 1177984, com repercussão geral (Tema 1.185), tem relatoria do ministro Edson </w:t>
      </w:r>
      <w:proofErr w:type="spellStart"/>
      <w:r w:rsidR="00E80C2F" w:rsidRPr="00E80C2F">
        <w:t>Fachin</w:t>
      </w:r>
      <w:proofErr w:type="spellEnd"/>
      <w:r w:rsidR="00E80C2F" w:rsidRPr="00E80C2F">
        <w:t>, presidente do Tribunal, que leu o relatório e abriu espaço para as manifestações das partes envolvidas e dos terceiros interessados admitidos no processo. </w:t>
      </w:r>
      <w:r w:rsidR="00E80C2F" w:rsidRPr="00E80C2F">
        <w:rPr>
          <w:rStyle w:val="Forte"/>
          <w:b w:val="0"/>
          <w:bCs w:val="0"/>
        </w:rPr>
        <w:t>Histórico - </w:t>
      </w:r>
      <w:r w:rsidR="00E80C2F" w:rsidRPr="00E80C2F">
        <w:t xml:space="preserve">O recurso foi apresentado por um casal preso em flagrante após a polícia encontrar armas e munições em sua residência. Durante o cumprimento do mandado de busca, a mulher teria admitido informalmente que tinha uma das armas, o que foi considerado prova de posse ilegal. Eles recorreram de decisão do Tribunal de Justiça de São Paulo (TJ-SP) que dispensou a advertência sobre o direito ao silêncio no momento da abordagem. A defesa alega que a confissão ocorreu sem essa advertência prévia, o que violaria o artigo 5º, inciso LXIII, da Constituição. Segundo esse dispositivo, o preso deve ser informado de seus direitos, entre eles o de permanecer calado, e deve ter assegurada a assistência da família e de advogado. A defesa sustenta que o aviso se aplica também a interrogatórios informais feitos pelos policiais no ato da prisão. </w:t>
      </w:r>
      <w:r w:rsidR="00E80C2F" w:rsidRPr="00E80C2F">
        <w:rPr>
          <w:rStyle w:val="Forte"/>
          <w:b w:val="0"/>
          <w:bCs w:val="0"/>
        </w:rPr>
        <w:t>Sustentações orais -</w:t>
      </w:r>
      <w:r w:rsidR="00E80C2F" w:rsidRPr="00E80C2F">
        <w:t xml:space="preserve"> A defesa do casal pediu a fixação de tese que imponha a advertência desde o contato inicial, sob pena de ilicitude de confissões “informais” que, na prática, embasam condenações. Citou ainda precedentes do STF para afirmar que “interrogatório” inclui o depoimento formal e informal e que a busca da verdade tem limites constitucionais. O Ministério Público de São Paulo, parte recorrida, defendeu que a advertência sobre o direito ao silêncio não deve ser obrigatória em todas as abordagens policiais, mas quando, por exemplo, houver prisão em flagrante ou falta de espontaneidade na fala do abordado. O MP-SP entende que a exigência em qualquer contato com a polícia seria inviável e geraria insegurança jurídica. </w:t>
      </w:r>
      <w:r w:rsidR="00E80C2F" w:rsidRPr="00E80C2F">
        <w:rPr>
          <w:rStyle w:val="Forte"/>
          <w:b w:val="0"/>
          <w:bCs w:val="0"/>
        </w:rPr>
        <w:t>Partes interessadas - </w:t>
      </w:r>
      <w:r w:rsidR="00E80C2F" w:rsidRPr="00E80C2F">
        <w:t>Entre as sustentações favoráveis à advertência desde a abordagem, manifestaram-se a Defensoria Pública da União (DPU), o Grupo de Atuação Estratégica das Defensorias Públicas Estaduais e Distrital nos Tribunais Superiores, o Instituto Brasileiro de Direito Processual Penal, o Conselho Federal da Ordem dos Advogados do Brasil e o Instituto de Defesa do Direito de Defesa. Em resumo, o grupo defendeu que o dever de informar o direito ao silêncio e à não autoincriminação se impõe já no primeiro contato policial. O argumento é de que isso concretiza garantias constitucionais e tratados internacionais, reduz o peso (e o risco) de confissões informais, assegura a manifestação voluntária e informada e legitima o processo penal. Em sentido mais restritivo, o Ministério Público do Estado de Minas Gerais (MP-MG) destacou impactos práticos de uma obrigação ampla na rua (morosidade, revisões massivas e desestímulo a confissões válidas) e defendeu uma solução caso a caso: preservar a possibilidade de valoração de relatos obtidos sem coação em contextos regulares e reservar a exigência a situações delimitadas. Nessa linha, sinalizou preocupação com segurança jurídica e admitiu, se necessário, soluções de transição como modulação de efeitos. </w:t>
      </w:r>
      <w:r w:rsidR="001151BA">
        <w:t>[Ver também Notícias STF 08.12.2021]</w:t>
      </w:r>
    </w:p>
    <w:p w:rsidR="00D63586" w:rsidRDefault="00E80C2F" w:rsidP="00D63586">
      <w:pPr>
        <w:pStyle w:val="NormalWeb"/>
        <w:shd w:val="clear" w:color="auto" w:fill="FFFFFF"/>
        <w:spacing w:before="240" w:beforeAutospacing="0" w:after="0" w:afterAutospacing="0"/>
        <w:jc w:val="both"/>
        <w:textAlignment w:val="baseline"/>
        <w:rPr>
          <w:color w:val="1F2125"/>
        </w:rPr>
      </w:pPr>
      <w:r>
        <w:t xml:space="preserve">STF </w:t>
      </w:r>
      <w:r w:rsidR="00D63586" w:rsidRPr="00D63586">
        <w:t xml:space="preserve">(ADI 4871, in </w:t>
      </w:r>
      <w:proofErr w:type="spellStart"/>
      <w:r w:rsidR="00D63586" w:rsidRPr="00D63586">
        <w:t>Conjur</w:t>
      </w:r>
      <w:proofErr w:type="spellEnd"/>
      <w:r w:rsidR="00D63586" w:rsidRPr="00D63586">
        <w:t xml:space="preserve"> 29.10.2025)</w:t>
      </w:r>
      <w:r w:rsidR="00D63586">
        <w:t xml:space="preserve"> </w:t>
      </w:r>
      <w:r w:rsidR="00D63586" w:rsidRPr="00D63586">
        <w:t xml:space="preserve">LINHA ULTRAPASSADA – Formação mínima de docente é matéria de competência exclusiva da União, diz STF – </w:t>
      </w:r>
      <w:r w:rsidR="00D63586" w:rsidRPr="00D63586">
        <w:rPr>
          <w:color w:val="1F2125"/>
        </w:rPr>
        <w:t>O </w:t>
      </w:r>
      <w:r w:rsidR="00D63586" w:rsidRPr="00D63586">
        <w:rPr>
          <w:bCs/>
          <w:color w:val="1F2125"/>
        </w:rPr>
        <w:t>Supremo Tribunal Federal</w:t>
      </w:r>
      <w:r w:rsidR="00D63586" w:rsidRPr="00D63586">
        <w:rPr>
          <w:color w:val="1F2125"/>
        </w:rPr>
        <w:t> declarou inconstitucional uma lei de Sergipe que extinguia o nível médio como formação mínima para ingresso na carreira do magistério estadual voltada à educação infantil e aos primeiros anos do ensino fundamental.</w:t>
      </w:r>
      <w:r w:rsidR="00D63586" w:rsidRPr="00D63586">
        <w:t xml:space="preserve"> </w:t>
      </w:r>
      <w:r w:rsidR="00D63586" w:rsidRPr="00D63586">
        <w:rPr>
          <w:color w:val="1F2125"/>
        </w:rPr>
        <w:t>A decisão foi tomada em Ação Direta de Inconstitucionalidade proposta pela Confederação Nacional dos Trabalhadores em Educação (CNTE).</w:t>
      </w:r>
      <w:r w:rsidR="00D63586" w:rsidRPr="00D63586">
        <w:t xml:space="preserve"> </w:t>
      </w:r>
      <w:r w:rsidR="00D63586" w:rsidRPr="00D63586">
        <w:rPr>
          <w:color w:val="1F2125"/>
        </w:rPr>
        <w:t xml:space="preserve">A norma sergipana acabava com o nível I do quadro permanente dos profissionais do magistério público. Segundo a CNTE, o resultado da mudança era que professores com formação em nível médio, na modalidade normal, não poderiam mais integrar os quadros docentes da rede de ensino do estado. </w:t>
      </w:r>
      <w:r w:rsidR="00D63586" w:rsidRPr="00D63586">
        <w:rPr>
          <w:rStyle w:val="Forte"/>
          <w:b w:val="0"/>
          <w:bCs w:val="0"/>
          <w:color w:val="122F4D"/>
        </w:rPr>
        <w:t>Competência exclusiva -</w:t>
      </w:r>
      <w:r w:rsidR="00D63586" w:rsidRPr="00D63586">
        <w:t xml:space="preserve"> </w:t>
      </w:r>
      <w:r w:rsidR="00D63586" w:rsidRPr="00D63586">
        <w:rPr>
          <w:color w:val="1F2125"/>
        </w:rPr>
        <w:t xml:space="preserve">Prevaleceu no julgamento o voto do ministro </w:t>
      </w:r>
      <w:r w:rsidR="00D63586" w:rsidRPr="00D63586">
        <w:rPr>
          <w:color w:val="1F2125"/>
        </w:rPr>
        <w:lastRenderedPageBreak/>
        <w:t>Cristiano Zanin, que considerou que a lei estadual invadiu a competência privativa da União para legislar sobre diretrizes e bases da educação nacional.</w:t>
      </w:r>
      <w:r w:rsidR="00D63586" w:rsidRPr="00D63586">
        <w:t xml:space="preserve"> </w:t>
      </w:r>
      <w:r w:rsidR="00D63586" w:rsidRPr="00D63586">
        <w:rPr>
          <w:color w:val="1F2125"/>
        </w:rPr>
        <w:t>Zanin afirmou que a exigência mínima de formação superior para ingresso no magistério estadual qualifica o ensino e o aprendizado no âmbito dos estados. Contudo, de acordo com a Lei de Diretrizes e Bases da Educação Nacional (</w:t>
      </w:r>
      <w:r w:rsidR="00D63586" w:rsidRPr="00D63586">
        <w:rPr>
          <w:bCs/>
          <w:color w:val="1F2125"/>
        </w:rPr>
        <w:t>Lei 9.394/1996</w:t>
      </w:r>
      <w:r w:rsidR="00D63586" w:rsidRPr="00D63586">
        <w:rPr>
          <w:color w:val="1F2125"/>
        </w:rPr>
        <w:t>), a formação mínima para a docência na educação infantil e nos anos iniciais do ensino fundamental é o nível médio, na modalidade normal.</w:t>
      </w:r>
      <w:r w:rsidR="00D63586" w:rsidRPr="00D63586">
        <w:t xml:space="preserve"> </w:t>
      </w:r>
      <w:r w:rsidR="00D63586" w:rsidRPr="00D63586">
        <w:rPr>
          <w:color w:val="1F2125"/>
        </w:rPr>
        <w:t>O ministro lembrou que a matéria discutida na ação é a mesma da </w:t>
      </w:r>
      <w:r w:rsidR="00D63586" w:rsidRPr="00D63586">
        <w:rPr>
          <w:bCs/>
          <w:color w:val="1F2125"/>
        </w:rPr>
        <w:t>ADI 2.965</w:t>
      </w:r>
      <w:r w:rsidR="00D63586" w:rsidRPr="00D63586">
        <w:rPr>
          <w:color w:val="1F2125"/>
        </w:rPr>
        <w:t>, julgada em abril, que questionava uma lei do sistema educacional de Goiás. Naquele caso, o STF considerou inconstitucional a exigência de formação superior para professores da educação infantil, por entender que o estado havia extrapolado sua competência ao modificar parâmetros fixados pela LDB.</w:t>
      </w:r>
      <w:r w:rsidR="00D63586" w:rsidRPr="00D63586">
        <w:t xml:space="preserve"> </w:t>
      </w:r>
      <w:r w:rsidR="00D63586" w:rsidRPr="00D63586">
        <w:rPr>
          <w:color w:val="1F2125"/>
        </w:rPr>
        <w:t xml:space="preserve">Ficaram vencidos o relator, ministro Nunes Marques, e os ministros Dias </w:t>
      </w:r>
      <w:proofErr w:type="spellStart"/>
      <w:r w:rsidR="00D63586" w:rsidRPr="00D63586">
        <w:rPr>
          <w:color w:val="1F2125"/>
        </w:rPr>
        <w:t>Toffoli</w:t>
      </w:r>
      <w:proofErr w:type="spellEnd"/>
      <w:r w:rsidR="00D63586" w:rsidRPr="00D63586">
        <w:rPr>
          <w:color w:val="1F2125"/>
        </w:rPr>
        <w:t xml:space="preserve">, Edson </w:t>
      </w:r>
      <w:proofErr w:type="spellStart"/>
      <w:r w:rsidR="00D63586" w:rsidRPr="00D63586">
        <w:rPr>
          <w:color w:val="1F2125"/>
        </w:rPr>
        <w:t>Fachin</w:t>
      </w:r>
      <w:proofErr w:type="spellEnd"/>
      <w:r w:rsidR="00D63586" w:rsidRPr="00D63586">
        <w:rPr>
          <w:color w:val="1F2125"/>
        </w:rPr>
        <w:t xml:space="preserve">, Luiz </w:t>
      </w:r>
      <w:proofErr w:type="spellStart"/>
      <w:r w:rsidR="00D63586" w:rsidRPr="00D63586">
        <w:rPr>
          <w:color w:val="1F2125"/>
        </w:rPr>
        <w:t>Fux</w:t>
      </w:r>
      <w:proofErr w:type="spellEnd"/>
      <w:r w:rsidR="00D63586" w:rsidRPr="00D63586">
        <w:rPr>
          <w:color w:val="1F2125"/>
        </w:rPr>
        <w:t xml:space="preserve"> e André Mendonça. Para Marques, os estados e o Distrito Federal podem optar pela exigência da formação em nível superior ou em nível médio.</w:t>
      </w:r>
    </w:p>
    <w:p w:rsidR="00812FBC" w:rsidRPr="00812FBC" w:rsidRDefault="00812FBC" w:rsidP="00812FBC">
      <w:pPr>
        <w:pStyle w:val="NormalWeb"/>
        <w:shd w:val="clear" w:color="auto" w:fill="FFFFFF"/>
        <w:spacing w:before="240" w:beforeAutospacing="0" w:after="0" w:afterAutospacing="0"/>
        <w:jc w:val="both"/>
        <w:textAlignment w:val="baseline"/>
      </w:pPr>
      <w:r w:rsidRPr="00812FBC">
        <w:t xml:space="preserve">STF (ADPF 635, in Notícias STF 29.10.2025) STF requer informações ao governo do RJ sobre operação policial nos complexos do Alemão e da Penha - </w:t>
      </w:r>
      <w:r w:rsidRPr="00812FBC">
        <w:rPr>
          <w:spacing w:val="-5"/>
        </w:rPr>
        <w:t>Ministro Alexandre de Moraes convocou audiências na próxima segunda-feira (3) com o governador do estado e outras autoridades estaduais -</w:t>
      </w:r>
      <w:r w:rsidRPr="00812FBC">
        <w:t xml:space="preserve"> O ministro Alexandre de Moraes, do Supremo Tribunal Federal (STF), determinou ao governador do Estado do Rio de Janeiro, Cláudio Castro, que preste informações sobre a operação policial ocorrida na terça-feira (28) nos complexos do Alemão e da Penha. A decisão foi tomada na Arguição de Descumprimento de Preceito Fundamental </w:t>
      </w:r>
      <w:r w:rsidRPr="00812FBC">
        <w:rPr>
          <w:rStyle w:val="Forte"/>
          <w:b w:val="0"/>
        </w:rPr>
        <w:t>(ADPF) 635</w:t>
      </w:r>
      <w:r w:rsidRPr="00812FBC">
        <w:t xml:space="preserve"> (“ADPF das Favelas”), após pedido do Conselho Nacional de Direitos Humanos (CNDH) e parecer favorável da Procuradoria-Geral da República (PGR). Na petição, o CNDH afirma que, apesar das determinações do Supremo no âmbito da ADPF – entre elas a homologação de um plano de redução da letalidade policial e a instalação de câmeras nas fardas e viaturas policiais –, a operação policial de terça-feira foi “a mais letal da história do Estado do Rio de Janeiro”. O ministro também convocou audiência para a próxima segunda-feira (3), às 11h, no Rio de Janeiro, com o governador, o secretário de Segurança Pública do estado, o comandante da Polícia Militar, o delegado-geral da Polícia Civil e o diretor da Superintendência-Geral de Polícia Técnico-Científica. Nessa ocasião, o governador deverá apresentar as informações de forma detalhada. Também haverá audiências com o presidente do Tribunal de Justiça do Estado do Rio de Janeiro, o procurador-geral de Justiça e o defensor público-geral do estado. </w:t>
      </w:r>
      <w:r w:rsidRPr="00812FBC">
        <w:rPr>
          <w:rStyle w:val="Forte"/>
          <w:b w:val="0"/>
          <w:bCs w:val="0"/>
        </w:rPr>
        <w:t xml:space="preserve">Informações - </w:t>
      </w:r>
      <w:r w:rsidRPr="00812FBC">
        <w:t xml:space="preserve">As informações requisitadas devem abranger relatório circunstanciado sobre a operação, com prévia definição do grau de força empregado e justificativa formal para sua realização; o número de agentes envolvidos e os armamentos utilizados; e o número oficial de mortos, feridos e pessoas detidas. O governo estadual também deverá informar se adotou medidas para garantir a responsabilização em caso de eventuais abusos e violações de direitos, incluindo a atuação dos órgãos periciais e o uso de câmeras corporais, além de assistência às vítimas e suas famílias, como a presença de ambulâncias. </w:t>
      </w:r>
      <w:r w:rsidRPr="00812FBC">
        <w:rPr>
          <w:rStyle w:val="Forte"/>
          <w:b w:val="0"/>
          <w:bCs w:val="0"/>
        </w:rPr>
        <w:t>Atuação -</w:t>
      </w:r>
      <w:r w:rsidRPr="00812FBC">
        <w:t xml:space="preserve"> O ministro Alexandre de Moraes atua no caso com base no artigo 38, inciso I, do Regimento Interno do STF. O ministro Edson </w:t>
      </w:r>
      <w:proofErr w:type="spellStart"/>
      <w:r w:rsidRPr="00812FBC">
        <w:t>Fachin</w:t>
      </w:r>
      <w:proofErr w:type="spellEnd"/>
      <w:r w:rsidRPr="00812FBC">
        <w:t xml:space="preserve"> era o relator da ADPF 635, e, após sua posse na Presidência do STF, o processo foi redistribuído ao ministro Luís Roberto Barroso. Com a aposentadoria de Barroso, no último dia 18/10, o ministro que ingressou em seguida na Corte (à exceção do presidente) fica responsável por decidir em questões urgentes no caso até a nomeação de seu sucessor.</w:t>
      </w:r>
    </w:p>
    <w:p w:rsidR="007B0B53" w:rsidRPr="007B0B53" w:rsidRDefault="00D63586" w:rsidP="007B0B53">
      <w:pPr>
        <w:pStyle w:val="NormalWeb"/>
        <w:shd w:val="clear" w:color="auto" w:fill="FFFFFF"/>
        <w:spacing w:before="240" w:beforeAutospacing="0" w:after="0" w:afterAutospacing="0"/>
        <w:jc w:val="both"/>
        <w:textAlignment w:val="baseline"/>
      </w:pPr>
      <w:r>
        <w:t xml:space="preserve">STF </w:t>
      </w:r>
      <w:r w:rsidR="007B0B53" w:rsidRPr="007B0B53">
        <w:t>(ARE 1561727, in Jota</w:t>
      </w:r>
      <w:r w:rsidR="00FE77A6">
        <w:t xml:space="preserve"> Jornal</w:t>
      </w:r>
      <w:r w:rsidR="007B0B53" w:rsidRPr="007B0B53">
        <w:t xml:space="preserve"> 27.10.2025) Saúde Pública – STF mantém lei do DF que autoriza enfermeiro a prescrever remédio - </w:t>
      </w:r>
      <w:r w:rsidR="007B0B53" w:rsidRPr="007B0B53">
        <w:rPr>
          <w:bCs/>
        </w:rPr>
        <w:t>Corte, no entanto, derruba trecho que dava ao Procon competência para fiscalizar cumprimento da atividade -</w:t>
      </w:r>
      <w:r w:rsidR="007B0B53" w:rsidRPr="007B0B53">
        <w:t xml:space="preserve"> O Supremo Tribunal Federal (STF) manteve,</w:t>
      </w:r>
      <w:r w:rsidR="007B0B53">
        <w:t xml:space="preserve"> por unanimidade, trecho de uma </w:t>
      </w:r>
      <w:r w:rsidR="007B0B53" w:rsidRPr="007B0B53">
        <w:t>lei do Distrito Federal que garante aos enfermeiros a prerrogativa de prescrever</w:t>
      </w:r>
      <w:r w:rsidR="007B0B53">
        <w:t xml:space="preserve"> </w:t>
      </w:r>
      <w:r w:rsidR="007B0B53" w:rsidRPr="007B0B53">
        <w:t xml:space="preserve">medicamentos estabelecidos em programas de saúde pública. Para a Corte, a norma distrital não trouxe inovações em relação à legislação federal sobre o tema. Segundo o relator, ministro Flávio Dino, a garantia dada aos enfermeiros do DF “remete expressamente à Lei Federal 7.498/1986” e incorpora todos os seus requisitos e condições, como a necessidade de que o enfermeiro seja “integrante da equipe de saúde”. A legislação federal estabelece que cabe ao enfermeiro, enquanto integrante da equipe de saúde, a “prescrição de medicamentos estabelecidos em programas de saúde pública e em rotina aprovada pela instituição de saúde”. Por outro lado, os ministros do STF entenderam que é inconstitucional um outro trecho da lei, que atribuía ao Programa de Proteção e Defesa do Consumidor (Procon) do DF a competência para fiscalizar o descumprimento das prescrições feitas por enfermeiros. Neste caso, o relator disse que o dispositivo invadiu a competência do governador do DF, ao dar novas tarefas ao Procon, órgão </w:t>
      </w:r>
      <w:r w:rsidR="007B0B53" w:rsidRPr="007B0B53">
        <w:lastRenderedPageBreak/>
        <w:t xml:space="preserve">do Executivo distrital. A análise do Recurso Extraordinário com Agravo (ARE) 1561727 foi feita em sessão virtual do Supremo que terminou em 24 de outubro. Dino foi seguido por todos os ministros, com exceção de </w:t>
      </w:r>
      <w:proofErr w:type="spellStart"/>
      <w:r w:rsidR="007B0B53" w:rsidRPr="007B0B53">
        <w:t>Cármen</w:t>
      </w:r>
      <w:proofErr w:type="spellEnd"/>
      <w:r w:rsidR="007B0B53" w:rsidRPr="007B0B53">
        <w:t xml:space="preserve"> Lúcia, que não votou. O presidente, ministro Edson </w:t>
      </w:r>
      <w:proofErr w:type="spellStart"/>
      <w:r w:rsidR="007B0B53" w:rsidRPr="007B0B53">
        <w:t>Fachin</w:t>
      </w:r>
      <w:proofErr w:type="spellEnd"/>
      <w:r w:rsidR="007B0B53" w:rsidRPr="007B0B53">
        <w:t xml:space="preserve">, concordou com a conclusão do relator, mas apresentou um entendimento diferente. Para ele, a norma do DF inovou sobre a ordem jurídica distrital. </w:t>
      </w:r>
      <w:proofErr w:type="spellStart"/>
      <w:r w:rsidR="007B0B53" w:rsidRPr="007B0B53">
        <w:t>Fachin</w:t>
      </w:r>
      <w:proofErr w:type="spellEnd"/>
      <w:r w:rsidR="007B0B53" w:rsidRPr="007B0B53">
        <w:t>, no entanto, entendeu que o dispositivo é constitucional por tratar de um exercício legítimo da competência concorrente do DF em legislar sobre o assunto. A discussão envolveu a Lei Distrital 7.530/2024, de autoria do deputado distrital Jorge Vianna (PSD). O Conselho Especial do Tribunal de Justiça do Distrito Federal e Territórios (TJDFT) havia declarado a inconstitucionalidade total da norma. A Mesa da Câmara Legislativa do DF então acionou o Supremo contestando a decisão. Em decisão individual de Dino do começo de setembro, o ministro já havia mantido a validade da autorização para enfermeiros prescreverem medicamentos O Sindicato dos Médicos recorreu, e o caso foi analisado pelo plenário. Em comunicado publicado no site do Conselho Federal de Enfermagem (</w:t>
      </w:r>
      <w:proofErr w:type="spellStart"/>
      <w:r w:rsidR="007B0B53" w:rsidRPr="007B0B53">
        <w:t>Cofen</w:t>
      </w:r>
      <w:proofErr w:type="spellEnd"/>
      <w:r w:rsidR="007B0B53" w:rsidRPr="007B0B53">
        <w:t>), o presidente da entidade, Manoel Neri, afirmou que a decisão do STF foi um “reconhecimento do conhecimento técnico e da relevância da categoria” e dá maior segurança jurídica para o exercício da profissão.</w:t>
      </w:r>
    </w:p>
    <w:p w:rsidR="000D16EC" w:rsidRPr="007B0B53" w:rsidRDefault="007B0B53" w:rsidP="000D16EC">
      <w:pPr>
        <w:pStyle w:val="NormalWeb"/>
        <w:shd w:val="clear" w:color="auto" w:fill="FFFFFF"/>
        <w:spacing w:before="240" w:beforeAutospacing="0" w:after="0" w:afterAutospacing="0"/>
        <w:jc w:val="both"/>
        <w:textAlignment w:val="baseline"/>
      </w:pPr>
      <w:r>
        <w:t xml:space="preserve">STF </w:t>
      </w:r>
      <w:r w:rsidR="000D16EC" w:rsidRPr="007B0B53">
        <w:t xml:space="preserve">(ADI 7893, in Notícias STF 24.10.2025) Governador da Bahia questiona norma federal sobre estrutura das PMs e dos Bombeiros - </w:t>
      </w:r>
      <w:r w:rsidR="000D16EC" w:rsidRPr="007B0B53">
        <w:rPr>
          <w:spacing w:val="-5"/>
        </w:rPr>
        <w:t>Jerônimo Rodrigues alega que a Lei Orgânica Nacional invade a competência dos estados para organizar os quadros das polícias militares -</w:t>
      </w:r>
      <w:r w:rsidR="000D16EC" w:rsidRPr="007B0B53">
        <w:t xml:space="preserve"> O governador da Bahia, Jerônimo Rodrigues, questiona no Supremo Tribunal Federal (STF) a validade de normas da Lei Orgânica Nacional das Polícias Militares e dos Corpos de Bombeiros que tratam da estrutura dos quadros de pessoal, regras de promoção e critérios para acesso a postos nessas corporações. A matéria é objeto da Ação Direta de Inconstitucionalidade </w:t>
      </w:r>
      <w:r w:rsidR="000D16EC" w:rsidRPr="007B0B53">
        <w:rPr>
          <w:rStyle w:val="Forte"/>
          <w:b w:val="0"/>
        </w:rPr>
        <w:t>(ADI) 7893</w:t>
      </w:r>
      <w:r w:rsidR="000D16EC" w:rsidRPr="007B0B53">
        <w:t>, de relatoria do ministro Nunes Marques. O artigo 15 da Lei Orgânica (Lei 14.751/2023) prevê seis quadros de pessoal para as corporações, como o Quadro de Oficiais Especialistas (QOE), e autoriza a criação de outros, com regras de acesso e promoção. Já o artigo 40 estabelece uma norma de transição do regime jurídico, permitindo que militares estaduais optem, no prazo de 180 dias, por permanecer em seus quadros ou migrar para o QOE. Segundo o governador, os dispositivos definem aspectos específicos da estrutura dos quadros de pessoal que deveriam ser tratados por legislação estadual. Argumenta que, conforme a Constituição Federal, cabe à União legislar sobre normas gerais de organização das corporações militares estaduais, e aos estados fazer a regulamentação específica sobre estrutura, cargos, promoções e remuneração.  Ainda de acordo com o governador, essas previsões geram impactos financeiros, como aumento de remuneração, e violam a autonomia estadual.</w:t>
      </w:r>
    </w:p>
    <w:p w:rsidR="009D6C23" w:rsidRPr="007B0B53" w:rsidRDefault="000D16EC" w:rsidP="009D6C23">
      <w:pPr>
        <w:pStyle w:val="NormalWeb"/>
        <w:shd w:val="clear" w:color="auto" w:fill="FFFFFF"/>
        <w:spacing w:before="240" w:beforeAutospacing="0" w:after="0" w:afterAutospacing="0"/>
        <w:jc w:val="both"/>
        <w:textAlignment w:val="baseline"/>
      </w:pPr>
      <w:r w:rsidRPr="007B0B53">
        <w:t xml:space="preserve">STF </w:t>
      </w:r>
      <w:r w:rsidR="009D6C23" w:rsidRPr="007B0B53">
        <w:t xml:space="preserve">(RE 1476281, in Notícias STF 21.10.2025) STF vai decidir se Estado deve garantir transporte especial para pacientes em tratamento - </w:t>
      </w:r>
      <w:r w:rsidR="009D6C23" w:rsidRPr="007B0B53">
        <w:rPr>
          <w:spacing w:val="-5"/>
        </w:rPr>
        <w:t>Plenário Virtual reconheceu repercussão geral sobre o tema, e decisão valerá para casos semelhantes em todo o país -</w:t>
      </w:r>
      <w:r w:rsidR="009D6C23" w:rsidRPr="007B0B53">
        <w:t xml:space="preserve"> O Supremo Tribunal Federal (STF) vai definir se o direito à saúde obriga estados e municípios a fornecer transporte especial, individual ou adaptado, para pacientes em tratamento médico. A questão teve repercussão geral reconhecida (Tema 1.431) em decisão unânime do Plenário Virtual, no Recurso Extraordinário </w:t>
      </w:r>
      <w:r w:rsidR="009D6C23" w:rsidRPr="007B0B53">
        <w:rPr>
          <w:rStyle w:val="Forte"/>
          <w:rFonts w:eastAsiaTheme="majorEastAsia"/>
          <w:b w:val="0"/>
        </w:rPr>
        <w:t>(RE) 1476281</w:t>
      </w:r>
      <w:r w:rsidR="009D6C23" w:rsidRPr="007B0B53">
        <w:t xml:space="preserve">. </w:t>
      </w:r>
      <w:r w:rsidR="009D6C23" w:rsidRPr="007B0B53">
        <w:rPr>
          <w:rStyle w:val="Forte"/>
          <w:b w:val="0"/>
          <w:bCs w:val="0"/>
        </w:rPr>
        <w:t>O caso - </w:t>
      </w:r>
      <w:r w:rsidR="009D6C23" w:rsidRPr="007B0B53">
        <w:t xml:space="preserve">O processo teve origem no Rio de Janeiro, onde um paciente com doença renal crônica obteve decisão da Justiça que obrigou o município e o estado a fornecer transporte entre sua casa e a clínica de hemodiálise. Para a Turma Recursal da Fazenda Pública da Justiça estadual, a gratuidade do transporte público não atende às necessidades desse tipo de paciente. </w:t>
      </w:r>
      <w:r w:rsidR="009D6C23" w:rsidRPr="007B0B53">
        <w:rPr>
          <w:rStyle w:val="Forte"/>
          <w:b w:val="0"/>
          <w:bCs w:val="0"/>
        </w:rPr>
        <w:t xml:space="preserve">Argumentos do município - </w:t>
      </w:r>
      <w:r w:rsidR="009D6C23" w:rsidRPr="007B0B53">
        <w:t xml:space="preserve">No recurso ao STF, o Município do Rio de Janeiro sustenta que a Constituição não prevê essa obrigação e ressalta que há programas de transporte público gratuito para doentes crônicos. Também afirma que a escassez de recursos exige que se dê prioridade a políticas universais do Sistema Único de Saúde (SUS) e defende que cabe ao Poder Executivo, e não ao Judiciário, definir como executar as políticas públicas de saúde. </w:t>
      </w:r>
      <w:r w:rsidR="009D6C23" w:rsidRPr="007B0B53">
        <w:rPr>
          <w:rStyle w:val="Forte"/>
          <w:b w:val="0"/>
          <w:bCs w:val="0"/>
        </w:rPr>
        <w:t xml:space="preserve">Relevância do tema - </w:t>
      </w:r>
      <w:r w:rsidR="009D6C23" w:rsidRPr="007B0B53">
        <w:t>Para o Plenário, a discussão é frequente nos juizados especiais do Rio de Janeiro, e não há uniformidade nas decisões, o que reforça a importância de uma definição do Supremo. A matéria envolve o equilíbrio entre dois aspectos do direito à saúde: a dimensão individual, que busca garantir o bem-estar de cada paciente, inclusive com transporte adaptado; e a dimensão coletiva, que exige gestão racional dos recursos públicos para manter a igualdade de acesso ao SUS. Por unanimidade, foi considerado que o assunto tem relevância jurídica, social e econômica, pois pode ter impacto direto na organização do sistema de saúde em todo o país. Com o reconhecimento da repercussão geral, a decisão de mérito a ser tomada pelo Plenário do STF valerá para todos os casos semelhantes nas demais instâncias da Justiça.</w:t>
      </w:r>
    </w:p>
    <w:p w:rsidR="00431033" w:rsidRPr="007B0B53" w:rsidRDefault="00F52FA5" w:rsidP="00431033">
      <w:pPr>
        <w:pStyle w:val="NormalWeb"/>
        <w:shd w:val="clear" w:color="auto" w:fill="FFFFFF"/>
        <w:spacing w:before="240" w:beforeAutospacing="0" w:after="0" w:afterAutospacing="0"/>
        <w:jc w:val="both"/>
        <w:textAlignment w:val="baseline"/>
      </w:pPr>
      <w:r w:rsidRPr="007B0B53">
        <w:lastRenderedPageBreak/>
        <w:t>STF (</w:t>
      </w:r>
      <w:r w:rsidR="00431033" w:rsidRPr="007B0B53">
        <w:t>ADPF 989 e ADPF 1207, in Notícias STF 18.10.2025</w:t>
      </w:r>
      <w:r w:rsidRPr="007B0B53">
        <w:t xml:space="preserve">) STF tem maioria para derrubar liminar que autorizou aborto legal por profissionais da enfermagem - </w:t>
      </w:r>
      <w:r w:rsidRPr="007B0B53">
        <w:rPr>
          <w:spacing w:val="-5"/>
        </w:rPr>
        <w:t>Em sessão extraordinária virtual, sete ministros já votaram para não manter a decisão do ministro Barroso -</w:t>
      </w:r>
      <w:r w:rsidR="00431033" w:rsidRPr="007B0B53">
        <w:t xml:space="preserve"> O Supremo Tribunal Federal (STF) já tem sete votos para não manter a liminar do ministro Luís Roberto Barroso, que havia autorizado profissionais da enfermagem a atuar em procedimentos de interrupção da gravidez nos casos em que o aborto é permitido pelo direito brasileiro: risco de vida da gestante, gravidez resultante de estupro e gestação de feto anencefálico. A decisão do ministro, tomada na sexta-feira (17), está submetida a referendo do Plenário em sessão extraordinária virtual que se encerra em 24/10. Barroso se aposentou do Tribunal neste sábado (18). Na mesma decisão, Barroso havia determinado também que os órgãos públicos de saúde não podem criar obstáculos não previstos em lei para a realização do aborto legal, em especial restrições relativas à idade gestacional ou à exigência de registro de ocorrência policial. Até o momento, os ministros Gilmar Mendes, Cristiano Zanin, Flávio Dino, Nunes Marques, André Mendonça, Alexandre de Moraes e Dias </w:t>
      </w:r>
      <w:proofErr w:type="spellStart"/>
      <w:r w:rsidR="00431033" w:rsidRPr="007B0B53">
        <w:t>Toffoli</w:t>
      </w:r>
      <w:proofErr w:type="spellEnd"/>
      <w:r w:rsidR="00431033" w:rsidRPr="007B0B53">
        <w:t xml:space="preserve"> votaram para não referendar a liminar. </w:t>
      </w:r>
      <w:r w:rsidR="00431033" w:rsidRPr="007B0B53">
        <w:rPr>
          <w:rStyle w:val="Forte"/>
          <w:rFonts w:eastAsiaTheme="majorEastAsia"/>
          <w:b w:val="0"/>
          <w:bCs w:val="0"/>
        </w:rPr>
        <w:t>Ações -</w:t>
      </w:r>
      <w:r w:rsidR="00431033" w:rsidRPr="007B0B53">
        <w:t xml:space="preserve"> A liminar foi concedida nas Arguições de Descumprimento de Preceito Fundamental (</w:t>
      </w:r>
      <w:proofErr w:type="spellStart"/>
      <w:r w:rsidR="00431033" w:rsidRPr="007B0B53">
        <w:t>ADPFs</w:t>
      </w:r>
      <w:proofErr w:type="spellEnd"/>
      <w:r w:rsidR="00431033" w:rsidRPr="007B0B53">
        <w:t xml:space="preserve">) 989 e 1207. Na primeira, entidades da sociedade civil, como a Sociedade Brasileira de Bioética e a Associação Brasileira de Saúde Coletiva, pedem o reconhecimento da violação massiva de direitos fundamentais na saúde pública em razão das barreiras ao aborto legal. Na segunda, associações de enfermagem e o Partido Socialismo e Liberdade (PSOL) solicitam que, além de médicos, outros profissionais de saúde possam atuar nos procedimentos. Na decisão, Barroso também determinou a suspensão de procedimentos administrativos e penais, bem como de processos e decisões judiciais, contra profissionais de enfermagem que prestem auxílio à interrupção da gestação nas hipóteses legalmente admitidas. </w:t>
      </w:r>
      <w:r w:rsidR="00431033" w:rsidRPr="007B0B53">
        <w:rPr>
          <w:rStyle w:val="Forte"/>
          <w:rFonts w:eastAsiaTheme="majorEastAsia"/>
          <w:b w:val="0"/>
          <w:bCs w:val="0"/>
        </w:rPr>
        <w:t>Ausência de urgência</w:t>
      </w:r>
      <w:r w:rsidR="00431033" w:rsidRPr="007B0B53">
        <w:t xml:space="preserve"> - Ao abrir a divergência, o ministro Gilmar Mendes considerou que não há urgência na matéria que justifique a concessão da liminar por Barroso. Mendes verificou que ambas as ações, anteriormente sob a relatoria do ministro Edson </w:t>
      </w:r>
      <w:proofErr w:type="spellStart"/>
      <w:r w:rsidR="00431033" w:rsidRPr="007B0B53">
        <w:t>Fachin</w:t>
      </w:r>
      <w:proofErr w:type="spellEnd"/>
      <w:r w:rsidR="00431033" w:rsidRPr="007B0B53">
        <w:t xml:space="preserve"> – atualmente na Presidência da Corte – tramitavam regularmente. No caso da ADPF 989, ele destacou que o último andamento processual relevante foi um despacho de agosto de 2023, requisitando novas informações ao Ministério da Saúde. Já a ADPF 1207 foi proposta em fevereiro de 2025, e o então relator havia solicitado informações às autoridades envolvidas e aplicado ao caso o rito legal que permite o julgamento diretamente no mérito. O ministro ressaltou que o deferimento de medida cautelar depende da presença simultânea dos requisitos legais, e, portanto, a ausência de qualquer um deles inviabiliza sua concessão.</w:t>
      </w:r>
    </w:p>
    <w:p w:rsidR="002A19D4" w:rsidRPr="007B0B53" w:rsidRDefault="002A19D4" w:rsidP="002A19D4">
      <w:pPr>
        <w:pStyle w:val="NormalWeb"/>
        <w:shd w:val="clear" w:color="auto" w:fill="FFFFFF"/>
        <w:spacing w:before="240" w:beforeAutospacing="0" w:after="0" w:afterAutospacing="0"/>
        <w:jc w:val="both"/>
        <w:textAlignment w:val="baseline"/>
      </w:pPr>
      <w:r w:rsidRPr="007B0B53">
        <w:t xml:space="preserve">STF (ADPF 989 e ADPF 1207, in Notícias STF 17.10.2025) Liminar afasta criminalização de profissionais de enfermagem que atuam em procedimentos de aborto legal - </w:t>
      </w:r>
      <w:r w:rsidRPr="007B0B53">
        <w:rPr>
          <w:spacing w:val="-5"/>
        </w:rPr>
        <w:t>Na mesma decisão, ministro Barroso estabelece que os órgãos públicos de saúde não podem criar obstáculos não previstos em lei para a realização do aborto legal -</w:t>
      </w:r>
      <w:r w:rsidRPr="007B0B53">
        <w:t xml:space="preserve"> O ministro Luís Roberto Barroso, do Supremo Tribunal Federal (STF), deferiu liminar para autorizar que enfermeiros e técnicos de enfermagem possam prestar auxílio na interrupção da gravidez nos casos em que o aborto já é permitido pelo direito brasileiro: risco de vida da gestante, gravidez resultante de estupro e gravidez de feto anencefálico. A liminar está submetida a referendo do Plenário em sessão virtual extraordinária que termina em 24 de outubro. Segundo o ministro, a medida não significa que não há necessidade do atendimento médico. Trata-se de afastar a possibilidade de punição criminal de profissionais de enfermagem que prestem auxílio compatível com sua formação profissional e com a complexidade do caso. Na mesma decisão, Barroso estabelece, ainda, que os órgãos públicos de saúde não podem criar obstáculos não previstos em lei para a realização do aborto legal, em especial referentes à restrição da idade gestacional e à exigência de registro de ocorrência policial. O ministro, que se aposenta do Tribunal neste sábado, afirma que há atualmente um “déficit assistencial” e uma “proteção insuficiente” que impede mulheres e meninas de acessarem um direito garantido há décadas. </w:t>
      </w:r>
      <w:r w:rsidRPr="007B0B53">
        <w:rPr>
          <w:rStyle w:val="Forte"/>
          <w:rFonts w:eastAsiaTheme="majorEastAsia"/>
          <w:b w:val="0"/>
          <w:bCs w:val="0"/>
        </w:rPr>
        <w:t xml:space="preserve">Ações - </w:t>
      </w:r>
      <w:r w:rsidRPr="007B0B53">
        <w:t xml:space="preserve">A liminar foi concedida nas Arguições de Descumprimento de Preceito Fundamental (ADPF) 989 e 1207. Na primeira, entidades da sociedade civil, como a Sociedade Brasileira de Bioética e a Associação Brasileira de Saúde Coletiva, pedem o reconhecimento da violação massiva de direitos fundamentais na saúde pública em razão das barreiras ao aborto legal. Na segunda, associações de enfermagem e o Partido Socialismo e Liberdade (PSOL) pedem que, além de médicos, outros profissionais de saúde possam atuar nos procedimentos. Na decisão, Barroso afirmou que a interpretação literal pelo Poder Judiciário da regra do artigo 128 do Código Penal, que admite que “médicos” realizem o procedimento nessas situações, contribui para a omissão da política de saúde. Segundo o ministro, em </w:t>
      </w:r>
      <w:r w:rsidRPr="007B0B53">
        <w:lastRenderedPageBreak/>
        <w:t xml:space="preserve">um cenário de “vazio assistencial”, limitar o espectro de profissionais que podem atuar no cuidado dessas meninas e mulheres contribui para que seus direitos sejam violados. </w:t>
      </w:r>
      <w:r w:rsidRPr="007B0B53">
        <w:rPr>
          <w:rStyle w:val="Forte"/>
          <w:rFonts w:eastAsiaTheme="majorEastAsia"/>
          <w:b w:val="0"/>
          <w:bCs w:val="0"/>
        </w:rPr>
        <w:t>Suspensão de procedimentos -</w:t>
      </w:r>
      <w:r w:rsidRPr="007B0B53">
        <w:t xml:space="preserve"> Barroso também determinou a suspensão de procedimentos administrativos e penais e de processos e decisões judiciais contra profissionais de enfermagem que prestem auxílio à interrupção da gestação nas hipóteses em que ela é legalmente legítima.</w:t>
      </w:r>
    </w:p>
    <w:p w:rsidR="0024341B" w:rsidRPr="007B0B53" w:rsidRDefault="0024341B" w:rsidP="0024341B">
      <w:pPr>
        <w:pStyle w:val="NormalWeb"/>
        <w:shd w:val="clear" w:color="auto" w:fill="FFFFFF"/>
        <w:spacing w:before="240" w:beforeAutospacing="0" w:after="0" w:afterAutospacing="0"/>
        <w:jc w:val="both"/>
        <w:textAlignment w:val="baseline"/>
      </w:pPr>
      <w:r w:rsidRPr="007B0B53">
        <w:t xml:space="preserve">STF (ADPF 442, in Notícias STF 17.10.2025) Ministro Barroso vota pela descriminalização do aborto até 12 semanas de gestação - </w:t>
      </w:r>
      <w:r w:rsidRPr="007B0B53">
        <w:rPr>
          <w:spacing w:val="-5"/>
        </w:rPr>
        <w:t xml:space="preserve">Em sessão virtual extraordinária, ministro apresentou voto antes de se aposentar; ministro Gilmar Mendes pediu destaque, e julgamento será levado ao Plenário físico - </w:t>
      </w:r>
      <w:r w:rsidRPr="007B0B53">
        <w:t>Em seu último dia como integrante do Supremo Tribunal Federal (STF), o ministro Luís Roberto Barroso votou pela descriminalização da interrupção voluntária da gravidez (aborto) nas primeiras 12 semanas de gestação. O julgamento da Arguição de Descumprimento de Preceito Fundamental </w:t>
      </w:r>
      <w:r w:rsidRPr="007B0B53">
        <w:rPr>
          <w:rStyle w:val="Forte"/>
          <w:rFonts w:eastAsiaTheme="majorEastAsia"/>
          <w:b w:val="0"/>
        </w:rPr>
        <w:t>(ADPF) 442</w:t>
      </w:r>
      <w:r w:rsidRPr="007B0B53">
        <w:t xml:space="preserve"> estava suspenso por pedido de destaque de Barroso em sessão virtual após o voto da relatora, ministra Rosa Weber (aposentada), em setembro de 2023. O pedido de destaque na sessão virtual leva o julgamento ao Plenário físico. Antes de sua aposentadoria, Barroso cancelou seu destaque e solicitou ao presidente do Tribunal, ministro Edson </w:t>
      </w:r>
      <w:proofErr w:type="spellStart"/>
      <w:r w:rsidRPr="007B0B53">
        <w:t>Fachin</w:t>
      </w:r>
      <w:proofErr w:type="spellEnd"/>
      <w:r w:rsidRPr="007B0B53">
        <w:t xml:space="preserve">, a convocação de sessão virtual extraordinária para que pudesse apresentar seu voto. O decreto presidencial que concede aposentadoria ao ministro foi publicado na quarta-feira (15) e terá efeitos a partir deste sábado (18). Com isso, o ministro </w:t>
      </w:r>
      <w:proofErr w:type="spellStart"/>
      <w:r w:rsidRPr="007B0B53">
        <w:t>Fachin</w:t>
      </w:r>
      <w:proofErr w:type="spellEnd"/>
      <w:r w:rsidRPr="007B0B53">
        <w:t xml:space="preserve"> convocou uma sessão virtual extraordinária iniciada às 20h desta sexta-feira (17). A previsão era de encerramento às 23h59 do dia 20, mas o julgamento foi novamente suspenso por pedido de destaque do ministro Gilmar Mendes, logo após Barroso apresentar seu voto. </w:t>
      </w:r>
      <w:r w:rsidRPr="007B0B53">
        <w:rPr>
          <w:rStyle w:val="Forte"/>
          <w:b w:val="0"/>
          <w:bCs w:val="0"/>
        </w:rPr>
        <w:t>Questão de saúde pública - </w:t>
      </w:r>
      <w:r w:rsidRPr="007B0B53">
        <w:t xml:space="preserve">No voto, o ministro lembrou que sua posição contrária à criminalização do aborto é conhecida desde o julgamento do Habeas Corpus (HC) 124306 pela Primeira Turma, em novembro de 2016. “Ninguém é a favor do aborto em si”, afirmou Barroso. Segundo ele, a discussão não está em ser contra ou a favor da prática, mas em como ela deve ser enfrentada, ou seja, é preciso definir se a mulher que passa por essa situação deve ser presa. “A interrupção da gestação deve ser tratada como uma questão de saúde pública, não de direito penal”, afirmou. Em seu entendimento, é papel do Estado e da sociedade evitar que a prática aconteça, por meio de educação sexual, da distribuição de contraceptivos e do amparo à mulher que deseje ter o filho e esteja em circunstâncias adversas. Mas, na sua avaliação, a criminalização penaliza especialmente meninas e mulheres pobres, que não podem recorrer ao sistema público de saúde para obter informações, medicação ou procedimentos adequados. “As pessoas com melhores condições financeiras podem atravessar a fronteira com o Uruguai ou a Colômbia, ir para a Europa ou valer-se de outros meios aos quais as classes média e alta têm acesso.” Ele ressaltou, ainda, que as mulheres têm o direito fundamental à sua liberdade sexual e reprodutiva, e direitos fundamentais não podem depender da vontade das maiorias políticas. </w:t>
      </w:r>
      <w:r w:rsidRPr="007B0B53">
        <w:rPr>
          <w:rStyle w:val="Forte"/>
          <w:b w:val="0"/>
          <w:bCs w:val="0"/>
        </w:rPr>
        <w:t>Sanção desproporcional -</w:t>
      </w:r>
      <w:r w:rsidRPr="007B0B53">
        <w:t xml:space="preserve"> Relatora da ação, a ministra Rosa Weber também apresentou seu voto às vésperas de deixar a Corte. Weber considerou que os artigos 124 e 126 do Código Penal não estão de acordo com a atual Constituição Federal. Para a ministra, é desproporcional atribuir pena de detenção de um a quatro anos à gestante que o provoque o aborto por conta própria ou autorize alguém a fazê-lo, e também para a pessoa que ajudar ou realizar o procedimento. A ministra ressalta que o debate jurídico sobre o tema é “sensível e de extrema delicadeza”, pois suscita “convicções de ordem moral, ética, religiosa e jurídica”. Apesar dessas conotações discursivas, Rosa Weber considera que a criminalização do aborto voluntário, com sanção penal à mulher e ao profissional da medicina, abrange “questões de direitos, do direito à vida e sua correlação com o direito à saúde e os direitos das mulheres”.</w:t>
      </w:r>
    </w:p>
    <w:p w:rsidR="0067705E" w:rsidRPr="007B0B53" w:rsidRDefault="009D6C23" w:rsidP="00C132AB">
      <w:pPr>
        <w:pStyle w:val="NormalWeb"/>
        <w:shd w:val="clear" w:color="auto" w:fill="FFFFFF"/>
        <w:spacing w:before="240" w:beforeAutospacing="0" w:after="0" w:afterAutospacing="0"/>
        <w:jc w:val="both"/>
        <w:textAlignment w:val="baseline"/>
      </w:pPr>
      <w:r w:rsidRPr="007B0B53">
        <w:t xml:space="preserve">STF </w:t>
      </w:r>
      <w:r w:rsidR="0067705E" w:rsidRPr="007B0B53">
        <w:t>(ADPF 466 e ADPF 522, in Notícias STF 15.10.2025</w:t>
      </w:r>
      <w:r w:rsidR="00D85540" w:rsidRPr="007B0B53">
        <w:t xml:space="preserve"> e Informativo STF 1195</w:t>
      </w:r>
      <w:r w:rsidR="0067705E" w:rsidRPr="007B0B53">
        <w:t xml:space="preserve">) STF invalida três leis municipais que vedavam ensino sobre gênero nas escolas - </w:t>
      </w:r>
      <w:r w:rsidR="0067705E" w:rsidRPr="007B0B53">
        <w:rPr>
          <w:spacing w:val="-5"/>
        </w:rPr>
        <w:t>Normas de Tubarão (SC) e dos municípios pernambucanos de Petrolina e Garanhuns violaram competência da União para editar leis gerais sobre educação -</w:t>
      </w:r>
      <w:r w:rsidR="00C132AB" w:rsidRPr="007B0B53">
        <w:t xml:space="preserve"> </w:t>
      </w:r>
      <w:r w:rsidR="0067705E" w:rsidRPr="007B0B53">
        <w:t>O Supremo Tribunal Federal (STF) invalidou leis dos municípios de Tubarão (SC), Petrolina (PE) e Garanhuns (PE) que proibiam a abordagem de temas relacionados a questões de gênero nas escolas. Por unanimidade, o Plenário entendeu que as leis municipais violaram a competência privativa da União para estabelecer normas gerais sobre educação, além de veicularem conteúdo discriminatório. A proibição do tema, para o Tribunal, viola os valores constitucionais da educação e da liberdade de ensinar e aprender. </w:t>
      </w:r>
      <w:r w:rsidR="0067705E" w:rsidRPr="007B0B53">
        <w:rPr>
          <w:rStyle w:val="Forte"/>
        </w:rPr>
        <w:t>Ações</w:t>
      </w:r>
      <w:r w:rsidR="0067705E" w:rsidRPr="007B0B53">
        <w:t> </w:t>
      </w:r>
      <w:r w:rsidR="00C132AB" w:rsidRPr="007B0B53">
        <w:t xml:space="preserve">- </w:t>
      </w:r>
      <w:r w:rsidR="0067705E" w:rsidRPr="007B0B53">
        <w:t>Na sessão plenária desta quarta-feira (15), foram julgadas em conjunto as Arguições de Descumprimento de Preceito Fundamental (</w:t>
      </w:r>
      <w:proofErr w:type="spellStart"/>
      <w:r w:rsidR="0067705E" w:rsidRPr="007B0B53">
        <w:t>ADPFs</w:t>
      </w:r>
      <w:proofErr w:type="spellEnd"/>
      <w:r w:rsidR="0067705E" w:rsidRPr="007B0B53">
        <w:t>) </w:t>
      </w:r>
      <w:r w:rsidR="00C132AB" w:rsidRPr="007B0B53">
        <w:rPr>
          <w:rStyle w:val="Forte"/>
          <w:rFonts w:eastAsiaTheme="majorEastAsia"/>
          <w:b w:val="0"/>
        </w:rPr>
        <w:t xml:space="preserve">466 e </w:t>
      </w:r>
      <w:r w:rsidR="0067705E" w:rsidRPr="007B0B53">
        <w:rPr>
          <w:rStyle w:val="Forte"/>
          <w:b w:val="0"/>
        </w:rPr>
        <w:t>522</w:t>
      </w:r>
      <w:r w:rsidR="0067705E" w:rsidRPr="007B0B53">
        <w:t xml:space="preserve">. Na primeira, a Procuradoria-Geral da República (PGR) questionava lei de Tubarão que proibia a inclusão dos termos </w:t>
      </w:r>
      <w:r w:rsidR="0067705E" w:rsidRPr="007B0B53">
        <w:lastRenderedPageBreak/>
        <w:t>“gênero”, “orientação sexual” ou sinônimos na política municipal de ensino, no currículo escolar, nas disciplinas obrigatórias, nos espaços lúdicos e nos materiais didáticos. Já na ADPF 522, o Partido Socialismo e Liberdade (PSOL) contestava leis sobre planos de educação de Petrolina e Garanhuns que vedavam a política de ensin</w:t>
      </w:r>
      <w:r w:rsidR="00C132AB" w:rsidRPr="007B0B53">
        <w:t xml:space="preserve">o com informações sobre gênero. </w:t>
      </w:r>
      <w:r w:rsidR="0067705E" w:rsidRPr="007B0B53">
        <w:t>O julgamento começou no ambiente virtual, mas um pedido de destaque do ministro Nunes Marques levou a discussão ao Plenário presencial. Ficaram mantidos os votos dos relatores das ações, ministra Rosa Weber e ministro Marco Aurélio, ambos aposentados. </w:t>
      </w:r>
      <w:r w:rsidR="0067705E" w:rsidRPr="007B0B53">
        <w:rPr>
          <w:rStyle w:val="Forte"/>
          <w:b w:val="0"/>
          <w:bCs w:val="0"/>
        </w:rPr>
        <w:t>Ponderação</w:t>
      </w:r>
      <w:r w:rsidR="00C132AB" w:rsidRPr="007B0B53">
        <w:rPr>
          <w:rStyle w:val="Forte"/>
          <w:b w:val="0"/>
          <w:bCs w:val="0"/>
        </w:rPr>
        <w:t xml:space="preserve"> -</w:t>
      </w:r>
      <w:r w:rsidR="0067705E" w:rsidRPr="007B0B53">
        <w:rPr>
          <w:b/>
          <w:bCs/>
        </w:rPr>
        <w:t> </w:t>
      </w:r>
      <w:r w:rsidR="0067705E" w:rsidRPr="007B0B53">
        <w:t>Na sessão de hoje, o ministro Nunes Marques acompanhou os relatores. Ele ponderou, contudo, que a liberdade de cátedra deve ser limitada, especialmente quando o público-alvo for de crianças. Na sua avaliação, o princípio constitucional da liberdade de ensinar e de aprender deve ser ajustado quando se trata da educação infantil. </w:t>
      </w:r>
      <w:r w:rsidR="0067705E" w:rsidRPr="007B0B53">
        <w:rPr>
          <w:rStyle w:val="Forte"/>
          <w:b w:val="0"/>
          <w:bCs w:val="0"/>
        </w:rPr>
        <w:t>Excessos</w:t>
      </w:r>
      <w:r w:rsidR="00C132AB" w:rsidRPr="007B0B53">
        <w:rPr>
          <w:rStyle w:val="Forte"/>
          <w:b w:val="0"/>
          <w:bCs w:val="0"/>
        </w:rPr>
        <w:t xml:space="preserve"> -</w:t>
      </w:r>
      <w:r w:rsidR="00C132AB" w:rsidRPr="007B0B53">
        <w:rPr>
          <w:b/>
          <w:bCs/>
        </w:rPr>
        <w:t xml:space="preserve"> </w:t>
      </w:r>
      <w:r w:rsidR="0067705E" w:rsidRPr="007B0B53">
        <w:t>Também o ministro Flávio Dino compartilhou da preocupação quanto à </w:t>
      </w:r>
      <w:proofErr w:type="spellStart"/>
      <w:r w:rsidR="0067705E" w:rsidRPr="007B0B53">
        <w:t>hipersexualização</w:t>
      </w:r>
      <w:proofErr w:type="spellEnd"/>
      <w:r w:rsidR="0067705E" w:rsidRPr="007B0B53">
        <w:t xml:space="preserve"> e à </w:t>
      </w:r>
      <w:proofErr w:type="spellStart"/>
      <w:r w:rsidR="0067705E" w:rsidRPr="007B0B53">
        <w:t>adultização</w:t>
      </w:r>
      <w:proofErr w:type="spellEnd"/>
      <w:r w:rsidR="0067705E" w:rsidRPr="007B0B53">
        <w:t xml:space="preserve"> de crianças. A seu ver, o combate à discriminação de gênero e orientação sexual no ensino deve levar em conta os preceitos pedagógicos de adequação do conteúdo e da metodologia aos diferentes níveis de compreensão e maturidade, de acordo com as faixas etárias e os ciclos educacionais. </w:t>
      </w:r>
      <w:r w:rsidR="0067705E" w:rsidRPr="007B0B53">
        <w:rPr>
          <w:rStyle w:val="Forte"/>
          <w:b w:val="0"/>
          <w:bCs w:val="0"/>
        </w:rPr>
        <w:t>Liberdade </w:t>
      </w:r>
      <w:r w:rsidR="00C132AB" w:rsidRPr="007B0B53">
        <w:t xml:space="preserve">- </w:t>
      </w:r>
      <w:r w:rsidR="0067705E" w:rsidRPr="007B0B53">
        <w:t xml:space="preserve">O presidente do STF, ministro Edson </w:t>
      </w:r>
      <w:proofErr w:type="spellStart"/>
      <w:r w:rsidR="0067705E" w:rsidRPr="007B0B53">
        <w:t>Fachin</w:t>
      </w:r>
      <w:proofErr w:type="spellEnd"/>
      <w:r w:rsidR="0067705E" w:rsidRPr="007B0B53">
        <w:t>, acrescentou que é dever do Estado assegurar um ambiente de ensino plural, democrático e de acolhimento das diferenças, o que se materializa pelas garantias da liberdade de expressão, acadêmica e de cátedra. “Não há verdadeira educação quando o medo substitui a reflexão. Não há emancipação pela educação quando a liberdade de ensinar dos professores e professoras não é assegurada”, concluiu.</w:t>
      </w:r>
    </w:p>
    <w:p w:rsidR="00AF2D9F" w:rsidRPr="007B0B53" w:rsidRDefault="00AF2D9F" w:rsidP="00AF2D9F">
      <w:pPr>
        <w:rPr>
          <w:szCs w:val="24"/>
        </w:rPr>
      </w:pPr>
      <w:r w:rsidRPr="007B0B53">
        <w:rPr>
          <w:szCs w:val="24"/>
        </w:rPr>
        <w:t xml:space="preserve">STF (Rcl 68709, in </w:t>
      </w:r>
      <w:proofErr w:type="spellStart"/>
      <w:r w:rsidRPr="007B0B53">
        <w:rPr>
          <w:szCs w:val="24"/>
        </w:rPr>
        <w:t>Conjur</w:t>
      </w:r>
      <w:proofErr w:type="spellEnd"/>
      <w:r w:rsidRPr="007B0B53">
        <w:rPr>
          <w:szCs w:val="24"/>
        </w:rPr>
        <w:t xml:space="preserve"> 11.10.2025) [</w:t>
      </w:r>
      <w:proofErr w:type="spellStart"/>
      <w:r w:rsidRPr="007B0B53">
        <w:rPr>
          <w:szCs w:val="24"/>
        </w:rPr>
        <w:t>Duchenne</w:t>
      </w:r>
      <w:proofErr w:type="spellEnd"/>
      <w:r w:rsidRPr="007B0B53">
        <w:rPr>
          <w:szCs w:val="24"/>
        </w:rPr>
        <w:t xml:space="preserve">] LIMINAR REFERENDADA – STF mantém suspensão de decisões judiciais de fornecimento de remédio milionário - O Plenário do Supremo Tribunal Federal confirmou a liminar que suspendeu todas as decisões judiciais sobre fornecimento de um remédio de custo milionário. O julgamento virtual terminou nesta sexta-feira (10/10). O remédio em questão é voltado ao tratamento da distrofia muscular de </w:t>
      </w:r>
      <w:proofErr w:type="spellStart"/>
      <w:r w:rsidRPr="007B0B53">
        <w:rPr>
          <w:szCs w:val="24"/>
        </w:rPr>
        <w:t>Duchenne</w:t>
      </w:r>
      <w:proofErr w:type="spellEnd"/>
      <w:r w:rsidRPr="007B0B53">
        <w:rPr>
          <w:szCs w:val="24"/>
        </w:rPr>
        <w:t xml:space="preserve"> (DMD). Aplicado em dose única, seu preço é de cerca de R$ 17 milhões. A DMD é uma condição genética rara que causa fraqueza muscular progressiva. Ela afeta um em cada 3,5 mil a cinco mil meninos (os principais afetados) nascidos vivos. Os sintomas clínicos geralmente se tornam evidentes apenas por volta dos cinco anos de idade. Não existe cura. As terapias atuais se baseiam na prevenção e no tratamento de complicações, baseado em corticosteroides (anti-inflamatórios potentes). O medicamento discutido no STF é desenvolvido a partir de biotecnologia de ponta e usa terapia gênica para tratar a condição. Remédio milionário - Quando a ação chegou ao Supremo, o remédio ainda não tinha registro na Agência Nacional de Vigilância Sanitária (Anvisa). Ao longo da tramitação, ele foi aprovado. Mas, no último mês de julho, a Anvisa determinou a suspensão temporária da venda, distribuição, fabricação e importação do medicamento. A medida foi tomada por precaução, pois foram registradas mortes por insuficiência hepática em pacientes tratados com o remédio nos EUA. Já em agosto, a Comissão Nacional de Incorporação de Tecnologias (</w:t>
      </w:r>
      <w:proofErr w:type="spellStart"/>
      <w:r w:rsidRPr="007B0B53">
        <w:rPr>
          <w:szCs w:val="24"/>
        </w:rPr>
        <w:t>Conitec</w:t>
      </w:r>
      <w:proofErr w:type="spellEnd"/>
      <w:r w:rsidRPr="007B0B53">
        <w:rPr>
          <w:szCs w:val="24"/>
        </w:rPr>
        <w:t xml:space="preserve">) negou a incorporação do medicamento ao Sistema Único de Saúde (SUS). Ao STF, o Ministério da Saúde explicou que está impedido de cumprir ordens judiciais de fornecimento do remédio em questão, em função da suspensão imposta pela Anvisa e da própria interrupção voluntária da fabricante. “Não há, de forma objetiva, produto disponível para compra ou entrega no território nacional”, apontou a pasta. Mesmo assim, o governo estava sujeito a sanções por descumprimento das decisões judiciais. Situação de insegurança jurídica - No final de setembro, o ministro Gilmar Mendes, relator do caso no Supremo, suspendeu todas as ordens judiciais de fornecimento do medicamento enquanto estiver em vigor a proibição temporária determinada pela Anvisa. Ao levar a discussão para o Plenário, Gilmar manteve os fundamentos apresentados na sua liminar. Para ele, o Judiciário deve seguir a determinação atual da Anvisa, para não expor os pacientes a riscos desconhecidos. O relator concordou que há uma “situação de insegurança jurídica”, pois a União está “vinculada ao cumprimento de decisões judiciais” que determinam o fornecimento do remédio, mas “sua execução está materialmente inviabilizada no Brasil”. Votaram com o relator os ministros Alexandre de Moraes, Cristiano Zanin, Edson </w:t>
      </w:r>
      <w:proofErr w:type="spellStart"/>
      <w:r w:rsidRPr="007B0B53">
        <w:rPr>
          <w:szCs w:val="24"/>
        </w:rPr>
        <w:t>Fachin</w:t>
      </w:r>
      <w:proofErr w:type="spellEnd"/>
      <w:r w:rsidRPr="007B0B53">
        <w:rPr>
          <w:szCs w:val="24"/>
        </w:rPr>
        <w:t xml:space="preserve">, </w:t>
      </w:r>
      <w:proofErr w:type="spellStart"/>
      <w:r w:rsidRPr="007B0B53">
        <w:rPr>
          <w:szCs w:val="24"/>
        </w:rPr>
        <w:t>Cármen</w:t>
      </w:r>
      <w:proofErr w:type="spellEnd"/>
      <w:r w:rsidRPr="007B0B53">
        <w:rPr>
          <w:szCs w:val="24"/>
        </w:rPr>
        <w:t xml:space="preserve"> Lúcia, Luiz </w:t>
      </w:r>
      <w:proofErr w:type="spellStart"/>
      <w:r w:rsidRPr="007B0B53">
        <w:rPr>
          <w:szCs w:val="24"/>
        </w:rPr>
        <w:t>Fux</w:t>
      </w:r>
      <w:proofErr w:type="spellEnd"/>
      <w:r w:rsidRPr="007B0B53">
        <w:rPr>
          <w:szCs w:val="24"/>
        </w:rPr>
        <w:t xml:space="preserve">, Nunes Marques, Dias </w:t>
      </w:r>
      <w:proofErr w:type="spellStart"/>
      <w:r w:rsidRPr="007B0B53">
        <w:rPr>
          <w:szCs w:val="24"/>
        </w:rPr>
        <w:t>Toffoli</w:t>
      </w:r>
      <w:proofErr w:type="spellEnd"/>
      <w:r w:rsidRPr="007B0B53">
        <w:rPr>
          <w:szCs w:val="24"/>
        </w:rPr>
        <w:t>, André Mendonça, Flávio Dino e Roberto Barroso.</w:t>
      </w:r>
    </w:p>
    <w:p w:rsidR="00255BC8" w:rsidRPr="007B0B53" w:rsidRDefault="0067705E" w:rsidP="00255BC8">
      <w:pPr>
        <w:pStyle w:val="NormalWeb"/>
        <w:shd w:val="clear" w:color="auto" w:fill="FFFFFF"/>
        <w:spacing w:before="240" w:beforeAutospacing="0" w:after="0" w:afterAutospacing="0"/>
        <w:jc w:val="both"/>
        <w:textAlignment w:val="baseline"/>
      </w:pPr>
      <w:r w:rsidRPr="007B0B53">
        <w:t xml:space="preserve">STF </w:t>
      </w:r>
      <w:r w:rsidR="00255BC8" w:rsidRPr="007B0B53">
        <w:t xml:space="preserve">(ADI 7883, in Notícias STF 08.10.2025) Entidades LGBTI+ acionam STF contra lei que restringe diversidade de gênero nas escolas - </w:t>
      </w:r>
      <w:r w:rsidR="00255BC8" w:rsidRPr="007B0B53">
        <w:rPr>
          <w:spacing w:val="-5"/>
        </w:rPr>
        <w:t>Ação pede suspensão de norma do Maranhão que permite veto de aulas sobre diversidade sexual e de gênero -</w:t>
      </w:r>
      <w:r w:rsidR="00255BC8" w:rsidRPr="007B0B53">
        <w:t xml:space="preserve"> A Aliança Nacional LGBTI+, a Associação Brasileira de Famílias </w:t>
      </w:r>
      <w:proofErr w:type="spellStart"/>
      <w:r w:rsidR="00255BC8" w:rsidRPr="007B0B53">
        <w:t>Homotransafetivas</w:t>
      </w:r>
      <w:proofErr w:type="spellEnd"/>
      <w:r w:rsidR="00255BC8" w:rsidRPr="007B0B53">
        <w:t xml:space="preserve"> (ABRAFH) e o Fórum Nacional de Travestis e Transexuais Negras e Negros </w:t>
      </w:r>
      <w:r w:rsidR="00255BC8" w:rsidRPr="007B0B53">
        <w:lastRenderedPageBreak/>
        <w:t>(</w:t>
      </w:r>
      <w:proofErr w:type="spellStart"/>
      <w:r w:rsidR="00255BC8" w:rsidRPr="007B0B53">
        <w:t>Fonatrans</w:t>
      </w:r>
      <w:proofErr w:type="spellEnd"/>
      <w:r w:rsidR="00255BC8" w:rsidRPr="007B0B53">
        <w:t>) entraram com uma ação no Supremo Tribunal Federal (STF) para suspender os efeitos de uma lei do Maranhão que autoriza pais e responsáveis a vetar a participação de seus filhos em aulas sobre diversidade sexual, identidade de gênero e temas correlatos. A Ação Direta de Inconstitucionalidade </w:t>
      </w:r>
      <w:r w:rsidR="00255BC8" w:rsidRPr="007B0B53">
        <w:rPr>
          <w:rStyle w:val="Forte"/>
          <w:rFonts w:eastAsiaTheme="majorEastAsia"/>
          <w:b w:val="0"/>
        </w:rPr>
        <w:t>(ADI) 7883</w:t>
      </w:r>
      <w:r w:rsidR="00255BC8" w:rsidRPr="007B0B53">
        <w:t> foi distribuída ao ministro Gilmar Mendes. No pedido, as entidades afirmam que a Lei estadual 12.410/2024 compromete o direito à educação inclusiva e afronta princípios constitucionais como a dignidade da pessoa humana e a vedação de discriminação contra grupos sociais vulneráveis. Também sustentam que a norma configura censura e fere a liberdade de expressão, de aprender e de ensinar. Outro argumento é o de invasão da competência privativa da União para legislar sobre diretrizes e bases da educação nacional. As entidades pedem a concessão de medida cautelar para suspender a eficácia da lei até o julgamento definitivo da ação e, ao final, a declaração de sua inconstitucionalidade total pelo Supremo.</w:t>
      </w:r>
    </w:p>
    <w:p w:rsidR="00B84176" w:rsidRPr="007B0B53" w:rsidRDefault="00255BC8" w:rsidP="00B84176">
      <w:pPr>
        <w:pStyle w:val="NormalWeb"/>
        <w:shd w:val="clear" w:color="auto" w:fill="FFFFFF"/>
        <w:spacing w:before="240" w:beforeAutospacing="0" w:after="0" w:afterAutospacing="0"/>
        <w:jc w:val="both"/>
        <w:textAlignment w:val="baseline"/>
      </w:pPr>
      <w:r w:rsidRPr="007B0B53">
        <w:t xml:space="preserve">STF </w:t>
      </w:r>
      <w:r w:rsidR="00600A9E" w:rsidRPr="007B0B53">
        <w:t>(</w:t>
      </w:r>
      <w:r w:rsidR="00B84176" w:rsidRPr="007B0B53">
        <w:t>ADI 6553</w:t>
      </w:r>
      <w:r w:rsidR="00600A9E" w:rsidRPr="007B0B53">
        <w:t xml:space="preserve">, in Notícias STF 08.10.2025) STF tem dois votos pela alteração de área de parque nacional para construção da </w:t>
      </w:r>
      <w:proofErr w:type="spellStart"/>
      <w:r w:rsidR="00600A9E" w:rsidRPr="007B0B53">
        <w:t>Ferrogrão</w:t>
      </w:r>
      <w:proofErr w:type="spellEnd"/>
      <w:r w:rsidR="00600A9E" w:rsidRPr="007B0B53">
        <w:t xml:space="preserve"> - </w:t>
      </w:r>
      <w:r w:rsidR="00600A9E" w:rsidRPr="007B0B53">
        <w:rPr>
          <w:spacing w:val="-5"/>
        </w:rPr>
        <w:t>Após os votos do relator, ministro Alexandre de Moraes, e do ministro Luís Roberto Barroso, o julgamento foi suspenso por pedido de vista do ministro Flávio Dino -</w:t>
      </w:r>
      <w:r w:rsidR="00B84176" w:rsidRPr="007B0B53">
        <w:t xml:space="preserve"> O ministro Alexandre de Moraes, do Supremo Tribunal Federal (STF), votou pela validade da lei que reduziu a área do Parque Nacional do </w:t>
      </w:r>
      <w:proofErr w:type="spellStart"/>
      <w:r w:rsidR="00B84176" w:rsidRPr="007B0B53">
        <w:t>Jamanxim</w:t>
      </w:r>
      <w:proofErr w:type="spellEnd"/>
      <w:r w:rsidR="00B84176" w:rsidRPr="007B0B53">
        <w:t xml:space="preserve">, no Pará, para a construção do projeto </w:t>
      </w:r>
      <w:proofErr w:type="spellStart"/>
      <w:r w:rsidR="00B84176" w:rsidRPr="007B0B53">
        <w:t>Ferrogrão</w:t>
      </w:r>
      <w:proofErr w:type="spellEnd"/>
      <w:r w:rsidR="00B84176" w:rsidRPr="007B0B53">
        <w:t>, ferrovia que visa ligar o estado a Mato Grosso, a fim de escoar produtos agrícolas. Após seu voto, acompanhado pelo ministro Luís Roberto Barroso, o julgamento foi suspenso por pedido de vista do ministro Flávio Dino. A questão é debatida na Ação Direta de Inconstitucionalidade </w:t>
      </w:r>
      <w:r w:rsidR="00B84176" w:rsidRPr="007B0B53">
        <w:rPr>
          <w:rStyle w:val="Forte"/>
          <w:b w:val="0"/>
        </w:rPr>
        <w:t>(ADI) 6553</w:t>
      </w:r>
      <w:r w:rsidR="00B84176" w:rsidRPr="007B0B53">
        <w:t xml:space="preserve">, apresentada pelo Partido Socialismo e Liberdade (PSOL) contra a Lei 13.452/2017, originada do projeto de conversão da Medida Provisória (MP) 758/2016. O partido argumenta que a proposta que excluiu cerca de 862 hectares do parque e destinou a área aos leitos e às faixas de domínio da </w:t>
      </w:r>
      <w:proofErr w:type="spellStart"/>
      <w:r w:rsidR="00B84176" w:rsidRPr="007B0B53">
        <w:t>Ferrogrão</w:t>
      </w:r>
      <w:proofErr w:type="spellEnd"/>
      <w:r w:rsidR="00B84176" w:rsidRPr="007B0B53">
        <w:t xml:space="preserve"> (EF-170), entre Sinop (MT) e Itaituba (PA), e da BR-163 não poderia ter sido originada de MP. Além disso, alega retrocesso na proteção ao meio ambiente. No voto, o ministro Alexandre de Moraes (relator) afirmou que não há irregularidade, pois a alteração efetivamente só ocorreu com a conversão da MP em lei. O ministro salientou que a MP previa um acréscimo de 51,1 mil hectares ao parque, como compensação, mas a proposta foi rejeitada pelo Congresso Nacional. O relator também afastou a alegação de perda de proteção ambiental. Ele explicou que, segundo as informações dos autos, dos 977 km da ferrovia, 635 km estão em área já suprimida pela rodovia BR-163. Destacou, ainda, que o novo traçado da ferrovia deverá trazer menos impactos, pois segue basicamente o da rodovia. De acordo com o ministro Alexandre, os estudos apresentados nos autos demonstram que a emissão de CO2 será 50% menor que a resultante do tráfego de caminhões, que atualmente fazem o transporte dos grãos. Sob outro aspecto, o ministro ressaltou que a ferrovia está em fase de projeto e, de acordo com a legislação, qualquer intervenção só ocorrerá depois do licenciamento ambiental. O relator incorporou ao seu voto uma proposta do ministro Barroso de permitir que o Executivo, por meio de decreto, possa compensar a área suprimida do parque até o máximo previsto na medida provisória. Essa possibilidade evitaria retrocesso na proteção ambiental.</w:t>
      </w:r>
    </w:p>
    <w:p w:rsidR="00AF13A4" w:rsidRPr="007B0B53" w:rsidRDefault="00600A9E" w:rsidP="00AF13A4">
      <w:pPr>
        <w:pStyle w:val="NormalWeb"/>
        <w:shd w:val="clear" w:color="auto" w:fill="FFFFFF"/>
        <w:spacing w:before="240" w:beforeAutospacing="0" w:after="0" w:afterAutospacing="0"/>
        <w:jc w:val="both"/>
        <w:textAlignment w:val="baseline"/>
      </w:pPr>
      <w:r w:rsidRPr="007B0B53">
        <w:t xml:space="preserve">STF </w:t>
      </w:r>
      <w:r w:rsidR="00AF13A4" w:rsidRPr="007B0B53">
        <w:t xml:space="preserve">(Rcl 84653, in Notícias STF 07.10.2025) STF restabelece critério do Conselho Federal de Medicina para atendimento a adolescentes </w:t>
      </w:r>
      <w:proofErr w:type="spellStart"/>
      <w:r w:rsidR="00AF13A4" w:rsidRPr="007B0B53">
        <w:t>trans</w:t>
      </w:r>
      <w:proofErr w:type="spellEnd"/>
      <w:r w:rsidR="00AF13A4" w:rsidRPr="007B0B53">
        <w:t xml:space="preserve"> - </w:t>
      </w:r>
      <w:r w:rsidR="00AF13A4" w:rsidRPr="007B0B53">
        <w:rPr>
          <w:spacing w:val="-5"/>
        </w:rPr>
        <w:t>Em decisão provisória que suspendeu medida da Justiça Federal no Acre, ministro Flávio Dino considerou que o tema já está em discussão no STF</w:t>
      </w:r>
      <w:r w:rsidR="00AF13A4" w:rsidRPr="007B0B53">
        <w:t xml:space="preserve"> - O ministro do Supremo Tribunal Federal (STF) Flávio Dino suspendeu decisão liminar da Justiça Federal do Acre que havia suspendido a eficácia de norma do Conselho Federal de Medicina (CFM) para o uso da terapia hormonal em crianças e adolescentes trans. A decisão foi tomada na Reclamação </w:t>
      </w:r>
      <w:r w:rsidR="00AF13A4" w:rsidRPr="007B0B53">
        <w:rPr>
          <w:rStyle w:val="Forte"/>
          <w:rFonts w:eastAsiaTheme="majorEastAsia"/>
          <w:b w:val="0"/>
        </w:rPr>
        <w:t>(Rcl) 84653</w:t>
      </w:r>
      <w:r w:rsidR="00AF13A4" w:rsidRPr="007B0B53">
        <w:t xml:space="preserve">. A Resolução 2.427/2025 do CFM prevê que o tratamento hormonal para transição de gênero só pode começar a partir dos 18 anos e restringe o uso de bloqueadores hormonais a situações clínicas específicas, como a puberdade precoce. O tema já está em discussão no STF por meio da Ação Direta de Inconstitucionalidade (ADI) 7806, proposta por entidades que contestam a resolução do CFM e pedem regras mais flexíveis para garantir o acesso de crianças e adolescentes </w:t>
      </w:r>
      <w:proofErr w:type="spellStart"/>
      <w:r w:rsidR="00AF13A4" w:rsidRPr="007B0B53">
        <w:t>trans</w:t>
      </w:r>
      <w:proofErr w:type="spellEnd"/>
      <w:r w:rsidR="00AF13A4" w:rsidRPr="007B0B53">
        <w:t xml:space="preserve"> a tratamentos médicos, com base em evidências científicas e nos princípios constitucionais de dignidade e identidade de gênero. </w:t>
      </w:r>
      <w:r w:rsidR="00AF13A4" w:rsidRPr="007B0B53">
        <w:rPr>
          <w:rStyle w:val="Forte"/>
          <w:b w:val="0"/>
          <w:bCs w:val="0"/>
        </w:rPr>
        <w:t xml:space="preserve">Suspensão - </w:t>
      </w:r>
      <w:r w:rsidR="00AF13A4" w:rsidRPr="007B0B53">
        <w:t xml:space="preserve">Na reclamação, o CFM questiona a suspensão da resolução por determinação da 3ª Vara Federal Cível e Criminal do Acre, a pedido do Ministério Público Federal. Na liminar, o juízo entendeu que a norma apresentava vícios formais e materiais, como a falta de participação social, a exigência de cadastro de pacientes e a restrição de terapias reconhecidas internacionalmente. Para o CFM, no entanto, essa decisão configurou controle de constitucionalidade que só poderia ser exercido pelo STF. </w:t>
      </w:r>
      <w:r w:rsidR="00AF13A4" w:rsidRPr="007B0B53">
        <w:rPr>
          <w:rStyle w:val="Forte"/>
          <w:b w:val="0"/>
          <w:bCs w:val="0"/>
        </w:rPr>
        <w:t xml:space="preserve">Competência do STF </w:t>
      </w:r>
      <w:r w:rsidR="00AF13A4" w:rsidRPr="007B0B53">
        <w:rPr>
          <w:rStyle w:val="Forte"/>
          <w:b w:val="0"/>
          <w:bCs w:val="0"/>
        </w:rPr>
        <w:lastRenderedPageBreak/>
        <w:t>- </w:t>
      </w:r>
      <w:r w:rsidR="00AF13A4" w:rsidRPr="007B0B53">
        <w:t>Ao analisar o pedido, o ministro Flávio Dino considerou que caberá ao Supremo decidir sobre a validade da resolução. Segundo ele, a decisão de primeira instância invadiu a competência da Corte e “fragmentou a jurisdição constitucional”. A suspensão de seus efeitos visa devolver a análise ao foro adequado, que é o STF. O ministro também determinou a notificação da Justiça Federal do Acre para prestar informações, além da citação do Ministério Público Federal, autor da ação originária, para eventual contestação. Os autos também serão encaminhados ao procurador-geral da República, e a medida cautelar será submetida a referendo da Primeira Turma do STF.</w:t>
      </w:r>
    </w:p>
    <w:p w:rsidR="00C7170C" w:rsidRPr="007B0B53" w:rsidRDefault="00AF13A4" w:rsidP="00C7170C">
      <w:pPr>
        <w:pStyle w:val="NormalWeb"/>
        <w:shd w:val="clear" w:color="auto" w:fill="FFFFFF"/>
        <w:spacing w:before="240" w:beforeAutospacing="0" w:after="0" w:afterAutospacing="0"/>
        <w:jc w:val="both"/>
        <w:textAlignment w:val="baseline"/>
      </w:pPr>
      <w:r w:rsidRPr="007B0B53">
        <w:t xml:space="preserve">STF </w:t>
      </w:r>
      <w:r w:rsidR="00C7170C" w:rsidRPr="007B0B53">
        <w:t xml:space="preserve">(ADI 6553, in Notícias STF 02.10.2025) STF começa a discutir alteração de limites de parque ambiental para construção do projeto </w:t>
      </w:r>
      <w:proofErr w:type="spellStart"/>
      <w:r w:rsidR="00C7170C" w:rsidRPr="007B0B53">
        <w:t>Ferrogrão</w:t>
      </w:r>
      <w:proofErr w:type="spellEnd"/>
      <w:r w:rsidR="00C7170C" w:rsidRPr="007B0B53">
        <w:t xml:space="preserve"> - </w:t>
      </w:r>
      <w:r w:rsidR="00C7170C" w:rsidRPr="007B0B53">
        <w:rPr>
          <w:spacing w:val="-5"/>
        </w:rPr>
        <w:t>Plenário ouviu as partes do processo e representantes de entidades interessadas; julgamento prossegue na próxima quarta (8) -</w:t>
      </w:r>
      <w:r w:rsidR="00C7170C" w:rsidRPr="007B0B53">
        <w:t xml:space="preserve"> O Supremo Tribunal Federal (STF) começou a analisar, na sessão desta quinta-feira (2), a validade de uma lei que destina parte do Parque Nacional do </w:t>
      </w:r>
      <w:proofErr w:type="spellStart"/>
      <w:r w:rsidR="00C7170C" w:rsidRPr="007B0B53">
        <w:t>Jamanxim</w:t>
      </w:r>
      <w:proofErr w:type="spellEnd"/>
      <w:r w:rsidR="00C7170C" w:rsidRPr="007B0B53">
        <w:t xml:space="preserve">, no Pará, ao projeto </w:t>
      </w:r>
      <w:proofErr w:type="spellStart"/>
      <w:r w:rsidR="00C7170C" w:rsidRPr="007B0B53">
        <w:t>Ferrogrão</w:t>
      </w:r>
      <w:proofErr w:type="spellEnd"/>
      <w:r w:rsidR="00C7170C" w:rsidRPr="007B0B53">
        <w:t>, ferrovia que visa ligar o estado a Mato Grosso, para escoar produtos agrícolas. A sessão foi destinada às manifestações das partes e de representantes de entidades admitidas no processo como interessadas. O julgamento da Ação Direta de Inconstitucionalidade </w:t>
      </w:r>
      <w:r w:rsidR="00C7170C" w:rsidRPr="007B0B53">
        <w:rPr>
          <w:rStyle w:val="Forte"/>
          <w:rFonts w:eastAsiaTheme="majorEastAsia"/>
          <w:b w:val="0"/>
        </w:rPr>
        <w:t>(ADI) 6553</w:t>
      </w:r>
      <w:r w:rsidR="00C7170C" w:rsidRPr="007B0B53">
        <w:rPr>
          <w:b/>
        </w:rPr>
        <w:t> </w:t>
      </w:r>
      <w:r w:rsidR="00C7170C" w:rsidRPr="007B0B53">
        <w:t xml:space="preserve">prossegue na próxima quarta (8), com o voto do relator, ministro Alexandre de Moraes, e dos demais ministros. A Lei 13.452/2017, originada do projeto de conversão da Medida Provisória (MP) 758/2016, excluiu cerca de 862 hectares do parque e os destinou aos leitos e às faixas de domínio da </w:t>
      </w:r>
      <w:proofErr w:type="spellStart"/>
      <w:r w:rsidR="00C7170C" w:rsidRPr="007B0B53">
        <w:t>Ferrogrão</w:t>
      </w:r>
      <w:proofErr w:type="spellEnd"/>
      <w:r w:rsidR="00C7170C" w:rsidRPr="007B0B53">
        <w:t xml:space="preserve"> (EF-170) e da BR-163. </w:t>
      </w:r>
      <w:r w:rsidR="00C7170C" w:rsidRPr="007B0B53">
        <w:rPr>
          <w:rStyle w:val="Forte"/>
          <w:b w:val="0"/>
          <w:bCs w:val="0"/>
        </w:rPr>
        <w:t xml:space="preserve">Retrocesso - </w:t>
      </w:r>
      <w:r w:rsidR="00C7170C" w:rsidRPr="007B0B53">
        <w:t xml:space="preserve">O Partido Socialismo e Liberdade (PSOL), autor da ação, sustenta que, por alterar áreas de unidades de conservação, a mudança não poderia ser feita por medida provisória, mas somente por lei em sentido formal. Em nome da legenda, o advogado Raphael Sodré </w:t>
      </w:r>
      <w:proofErr w:type="spellStart"/>
      <w:r w:rsidR="00C7170C" w:rsidRPr="007B0B53">
        <w:t>Cittadino</w:t>
      </w:r>
      <w:proofErr w:type="spellEnd"/>
      <w:r w:rsidR="00C7170C" w:rsidRPr="007B0B53">
        <w:t xml:space="preserve"> ressaltou que a norma afeta uma área ambiental protegida, onde há espécies endêmicas, e as comunidades indígenas que vivem na região, incluindo povos isolados. O advogado da União Antônio Marinho da Rocha Neto afirmou que, em um primeiro momento, a Advocacia-Geral da União (AGU) havia se manifestado pela validade da norma. Contudo, passou a se manifestar pela inconstitucionalidade da lei após estudo técnico do Instituto Chico Mendes de Conservação da Biodiversidade (</w:t>
      </w:r>
      <w:proofErr w:type="spellStart"/>
      <w:r w:rsidR="00C7170C" w:rsidRPr="007B0B53">
        <w:t>ICMBio</w:t>
      </w:r>
      <w:proofErr w:type="spellEnd"/>
      <w:r w:rsidR="00C7170C" w:rsidRPr="007B0B53">
        <w:t xml:space="preserve">) demonstrar a supressão de parte da área de proteção integral do parque nacional sem medida compensatória ambiental. Ele destacou, no entanto, que a União não se opõe ao projeto, desde que se cumpram as medidas socioambientais. </w:t>
      </w:r>
      <w:r w:rsidR="00C7170C" w:rsidRPr="007B0B53">
        <w:rPr>
          <w:rStyle w:val="Forte"/>
          <w:b w:val="0"/>
          <w:bCs w:val="0"/>
        </w:rPr>
        <w:t xml:space="preserve">Interessados - </w:t>
      </w:r>
      <w:r w:rsidR="00C7170C" w:rsidRPr="007B0B53">
        <w:t xml:space="preserve">Também foram ouvidos representantes de entidades interessadas no processo: Instituto </w:t>
      </w:r>
      <w:proofErr w:type="spellStart"/>
      <w:r w:rsidR="00C7170C" w:rsidRPr="007B0B53">
        <w:t>Sócio-Ambiental</w:t>
      </w:r>
      <w:proofErr w:type="spellEnd"/>
      <w:r w:rsidR="00C7170C" w:rsidRPr="007B0B53">
        <w:t xml:space="preserve"> Flora Nativa (</w:t>
      </w:r>
      <w:proofErr w:type="spellStart"/>
      <w:r w:rsidR="00C7170C" w:rsidRPr="007B0B53">
        <w:t>Isaf</w:t>
      </w:r>
      <w:proofErr w:type="spellEnd"/>
      <w:r w:rsidR="00C7170C" w:rsidRPr="007B0B53">
        <w:t xml:space="preserve">), Confederação da Agricultura e Pecuária do Brasil (CNA), Instituto </w:t>
      </w:r>
      <w:proofErr w:type="spellStart"/>
      <w:r w:rsidR="00C7170C" w:rsidRPr="007B0B53">
        <w:t>Kabu</w:t>
      </w:r>
      <w:proofErr w:type="spellEnd"/>
      <w:r w:rsidR="00C7170C" w:rsidRPr="007B0B53">
        <w:t>, Articulação dos Povos Indígenas do Brasil (</w:t>
      </w:r>
      <w:proofErr w:type="spellStart"/>
      <w:r w:rsidR="00C7170C" w:rsidRPr="007B0B53">
        <w:t>Apib</w:t>
      </w:r>
      <w:proofErr w:type="spellEnd"/>
      <w:r w:rsidR="00C7170C" w:rsidRPr="007B0B53">
        <w:t xml:space="preserve">), Estado de Mato Grosso e Instituto Socioambiental (ISA). </w:t>
      </w:r>
      <w:r w:rsidR="00C7170C" w:rsidRPr="007B0B53">
        <w:rPr>
          <w:rStyle w:val="Forte"/>
          <w:b w:val="0"/>
          <w:bCs w:val="0"/>
        </w:rPr>
        <w:t xml:space="preserve">Histórico - </w:t>
      </w:r>
      <w:r w:rsidR="00C7170C" w:rsidRPr="007B0B53">
        <w:t>Em 2021, o relator da ação, ministro Alexandre de Moraes, suspendeu a lei. Posteriormente, remeteu o processo ao Centro de Soluções Alternativas de Litígios (</w:t>
      </w:r>
      <w:proofErr w:type="spellStart"/>
      <w:r w:rsidR="00C7170C" w:rsidRPr="007B0B53">
        <w:t>Cesal</w:t>
      </w:r>
      <w:proofErr w:type="spellEnd"/>
      <w:r w:rsidR="00C7170C" w:rsidRPr="007B0B53">
        <w:t xml:space="preserve">) da Corte e autorizou a retomada dos estudos e dos processos administrativos relacionados à estrada de ferro. Não houve acordo. Porém, em agosto de 2023, o </w:t>
      </w:r>
      <w:proofErr w:type="spellStart"/>
      <w:r w:rsidR="00C7170C" w:rsidRPr="007B0B53">
        <w:t>Cesal</w:t>
      </w:r>
      <w:proofErr w:type="spellEnd"/>
      <w:r w:rsidR="00C7170C" w:rsidRPr="007B0B53">
        <w:t xml:space="preserve"> apresentou relatório de sugestões que incluiu compensações ambientais e a oitiva qualificada das comunidades indígenas. Considerando os avanços concretizados após o início dos diálogos e as propostas </w:t>
      </w:r>
      <w:proofErr w:type="spellStart"/>
      <w:r w:rsidR="00C7170C" w:rsidRPr="007B0B53">
        <w:t>consensualizadas</w:t>
      </w:r>
      <w:proofErr w:type="spellEnd"/>
      <w:r w:rsidR="00C7170C" w:rsidRPr="007B0B53">
        <w:t xml:space="preserve"> pelos envolvidos, o relator determinou a suspensão da ação por seis meses para a conclusão das atualizações e dos estudos sugeridos. O prazo foi estendido por mais 90 dias.</w:t>
      </w:r>
    </w:p>
    <w:p w:rsidR="00892D76" w:rsidRPr="007B0B53" w:rsidRDefault="00C7170C" w:rsidP="00892D76">
      <w:pPr>
        <w:pStyle w:val="NormalWeb"/>
        <w:shd w:val="clear" w:color="auto" w:fill="FFFFFF"/>
        <w:spacing w:before="240" w:beforeAutospacing="0" w:after="0" w:afterAutospacing="0"/>
        <w:jc w:val="both"/>
        <w:textAlignment w:val="baseline"/>
      </w:pPr>
      <w:r w:rsidRPr="007B0B53">
        <w:t xml:space="preserve">STF </w:t>
      </w:r>
      <w:r w:rsidR="00892D76" w:rsidRPr="007B0B53">
        <w:t xml:space="preserve">(ADI 7875, in Jota Jornal 25.09.2025) Saúde – Lei que regulamenta pesquisas científicas com seres humanos é alvo de ação no STF - </w:t>
      </w:r>
      <w:r w:rsidR="00892D76" w:rsidRPr="007B0B53">
        <w:rPr>
          <w:bCs/>
        </w:rPr>
        <w:t>Sociedade Brasileira de Bioética contesta no STF lei sobre pesquisas clínicas e alerta para retrocessos no acesso a tratamentos e proteção de voluntários -</w:t>
      </w:r>
      <w:r w:rsidR="00892D76" w:rsidRPr="007B0B53">
        <w:t xml:space="preserve"> A Sociedade Brasileira de Bioética (SBB) entrou com uma Ação Direta de Inconstitucionalidade (ADI), a ADI 7875, no Supremo Tribunal Federal (STF) contra a Lei 14.874/2024, que regula pesquisas clínicas com seres humanos no Brasil. A entidade pede a suspensão imediata de trechos da norma por considerar que a lei restringe o direito de indivíduos em condição de vulnerabilidade ao acesso contínuo a tratamentos eficazes após o término dos estudos, o que violaria princípios da Constituição como o direito fundamental à saúde. O ministro Cristiano Zanin foi designado relator da ação. A legislação foi sancionada a partir do Projeto de Lei do Senado Federal 200/2015, posteriormente substituído pelo PL 6.007/2023, que criou a chamada Instância Nacional de Ética em Pesquisa, vinculada ao Ministério da Saúde, responsável por regular, fiscalizar e controlar os aspectos éticos das pesquisas com seres humanos. Para a entidade, a criação do órgão pelo Poder Legislativo seria inconstitucional, já que a Constituição determina que é de competência do Presidente da República criar e extinguir ministérios e órgãos da administração pública. Sendo assim, a elaboração da Instância Nacional de Ética em Pesquisa seria um vício de iniciativa. Para a organização, </w:t>
      </w:r>
      <w:r w:rsidR="00892D76" w:rsidRPr="007B0B53">
        <w:lastRenderedPageBreak/>
        <w:t xml:space="preserve">a lei é um "retrocesso social e violação ao direito fundamental à saúde", já que estabelece “restrições significativas ao tratamento contínuo de participantes de pesquisa". Até 2024, a Resolução 466/2012 do Conselho Nacional de Saúde (CNS) garantia a continuidade gratuita dos tratamentos aos voluntários de pesquisa, sem prazo definido. A nova lei, portanto, “mudou completamente a regulação jurídica do acesso pós-estudo”, e estabeleceu, entre outras coisas, justificativas de necessidade do fornecimento gratuito dos medicamentos experimentais.  “Participantes de pesquisa não são meros ‘pacientes’, mas pessoas que se submetem a riscos em benefício do avanço científico e da coletividade. Essa condição impõe um dever de proteção estatal reforçado, que a lei fragiliza", afirma a entidade. Outro ponto discutido na ADI é o repasse de custos ao Sistema Único de Saúde (SUS). Até então, cabia ao patrocinador do estudo, geralmente laboratórios e empresas privadas, garantir a continuidade do tratamento e arcar com eventuais indenizações a pacientes que sofressem danos durante a pesquisa. Na nova legislação, cabe ao sistema público financiar tratamentos e indenizações em alguns casos, sem que tenha havido qualquer estimativa de impacto orçamentário, o que, segundo a SBB, teria potencial de gerar “ônus orçamentário aos cofres públicos, pois serão responsáveis financeiramente pela indenização decorrente de pesquisa financiada pela iniciativa privada". A ação também contesta o artigo 18 da lei, que permite a inclusão de pessoas em pesquisas sem consentimento prévio em situações de emergência, sob justificativa de que, nesses casos, não haveria tempo hábil para coletar autorização formal. Para a SBB, a premissa afronta a autonomia do paciente e o princípio do consentimento informado, contrariando a dignidade humana e a própria jurisprudência do STF. Além disso, a associação critica a falta de participação social efetiva na governança da ética em pesquisa. Enquanto o modelo anterior, estruturado pelo CNS, previa a presença ativa de representantes da sociedade civil na formulação de normas e no acompanhamento dos estudos, a nova legislação limita esse papel à presença simbólica em algumas etapas de análise. Para a SBB, isso enfraquece o controle social, princípio previsto na Constituição para garantir que as políticas de saúde sejam construídas de forma democrática e participativa. Por fim, a entidade alerta que as restrições impostas pela lei podem aumentar a </w:t>
      </w:r>
      <w:proofErr w:type="spellStart"/>
      <w:r w:rsidR="00892D76" w:rsidRPr="007B0B53">
        <w:t>judicialização</w:t>
      </w:r>
      <w:proofErr w:type="spellEnd"/>
      <w:r w:rsidR="00892D76" w:rsidRPr="007B0B53">
        <w:t xml:space="preserve"> da saúde. Isso porque pacientes que não conseguirem garantir a continuidade de seus tratamentos pelo novo modelo teriam que recorrer ao Judiciário, mas sem a segurança de uma resposta favorável, já que os Temas 6 e 1.234 de Repercussão Geral do STF fixaram parâmetros mais rígidos para decisões que obrigam o Estado a fornecer medicamentos, fazendo com que a nova lei empurre “pacientes à </w:t>
      </w:r>
      <w:proofErr w:type="spellStart"/>
      <w:r w:rsidR="00892D76" w:rsidRPr="007B0B53">
        <w:t>judicialização</w:t>
      </w:r>
      <w:proofErr w:type="spellEnd"/>
      <w:r w:rsidR="00892D76" w:rsidRPr="007B0B53">
        <w:t xml:space="preserve"> sem garantia de tutela”.</w:t>
      </w:r>
    </w:p>
    <w:p w:rsidR="005C052B" w:rsidRPr="007B0B53" w:rsidRDefault="00892D76" w:rsidP="005C052B">
      <w:pPr>
        <w:pStyle w:val="NormalWeb"/>
        <w:shd w:val="clear" w:color="auto" w:fill="FFFFFF"/>
        <w:spacing w:before="240" w:beforeAutospacing="0" w:after="0" w:afterAutospacing="0"/>
        <w:jc w:val="both"/>
        <w:textAlignment w:val="baseline"/>
      </w:pPr>
      <w:r w:rsidRPr="007B0B53">
        <w:t xml:space="preserve">STF </w:t>
      </w:r>
      <w:r w:rsidR="005C052B" w:rsidRPr="007B0B53">
        <w:t xml:space="preserve">(ADI 5059, in </w:t>
      </w:r>
      <w:proofErr w:type="spellStart"/>
      <w:r w:rsidR="005C052B" w:rsidRPr="007B0B53">
        <w:t>Conjur</w:t>
      </w:r>
      <w:proofErr w:type="spellEnd"/>
      <w:r w:rsidR="005C052B" w:rsidRPr="007B0B53">
        <w:t xml:space="preserve"> 22.09.2025) Aguarde na linha – STF suspende análise de acesso da polícia a dados telefônicos sem autorização judicial – O ministro Gilmar Mendes, do Supremo Tribunal Federal, pediu vista, na última sexta-feira (19/9), dos autos do julgamento em que o Plenário discute se delegados de polícia podem pedir dados de comunicações telefônicas sem autorização judicial.</w:t>
      </w:r>
      <w:r w:rsidR="005C052B" w:rsidRPr="007B0B53">
        <w:rPr>
          <w:shd w:val="clear" w:color="auto" w:fill="FCF9F6"/>
        </w:rPr>
        <w:t xml:space="preserve"> </w:t>
      </w:r>
      <w:r w:rsidR="005C052B" w:rsidRPr="007B0B53">
        <w:t xml:space="preserve">Com isso, a análise, iniciada naquele mesmo dia, voltou a ser suspensa. O mesmo já havia acontecido em abril deste ano, quando o STF começou a julgar o caso. Antes da nova interrupção, dois ministros haviam votado. Dias </w:t>
      </w:r>
      <w:proofErr w:type="spellStart"/>
      <w:r w:rsidR="005C052B" w:rsidRPr="007B0B53">
        <w:t>Toffoli</w:t>
      </w:r>
      <w:proofErr w:type="spellEnd"/>
      <w:r w:rsidR="005C052B" w:rsidRPr="007B0B53">
        <w:t xml:space="preserve"> e Cristiano Zanin concordaram que pedidos de quebra de sigilo sem autorização judicial devem se limitar a dados cadastrais, mas sugeriram teses diferentes para definir o julgamento. Contexto - A ação foi movida pela Associação Nacional das Operadoras Celulares (</w:t>
      </w:r>
      <w:proofErr w:type="spellStart"/>
      <w:r w:rsidR="005C052B" w:rsidRPr="007B0B53">
        <w:t>Acel</w:t>
      </w:r>
      <w:proofErr w:type="spellEnd"/>
      <w:r w:rsidR="005C052B" w:rsidRPr="007B0B53">
        <w:t>) contra o parágrafo 2º do artigo 2º da </w:t>
      </w:r>
      <w:r w:rsidR="005C052B" w:rsidRPr="007B0B53">
        <w:rPr>
          <w:rFonts w:eastAsiaTheme="majorEastAsia"/>
          <w:bCs/>
        </w:rPr>
        <w:t>Lei 12.830/2013</w:t>
      </w:r>
      <w:r w:rsidR="005C052B" w:rsidRPr="007B0B53">
        <w:t xml:space="preserve">. O trecho diz que, durante investigações criminais, o delegado de polícia tem a função de requisitar “perícia, informações, documentos e dados que interessem à apuração dos fatos”. A entidade argumentou que a regra permite a quebra de sigilo de quaisquer dados, informações ou documentos relativos a comunicações telefônicas sem autorização judicial. De acordo com a </w:t>
      </w:r>
      <w:proofErr w:type="spellStart"/>
      <w:r w:rsidR="005C052B" w:rsidRPr="007B0B53">
        <w:t>Acel</w:t>
      </w:r>
      <w:proofErr w:type="spellEnd"/>
      <w:r w:rsidR="005C052B" w:rsidRPr="007B0B53">
        <w:t xml:space="preserve">, isso viola o sigilo das comunicações e os direitos fundamentais à privacidade e à intimidade. Segundo a autora, as operadoras de telefonia móvel receberam uma quantidade enorme de requisições do tipo depois que a lei entrou em vigor. Além disso, quando se recusam a cumprir as intimações, tais empresas ficam sujeitas a responder por crime de desobediência. O julgamento não diz respeito a comunicações em tempo real, cuja interceptação sem autorização judicial já é proibida. A análise é sobre ordens de fornecimento de informações, dados ou documentos registrados e armazenados. Voto do relator - Para </w:t>
      </w:r>
      <w:proofErr w:type="spellStart"/>
      <w:r w:rsidR="005C052B" w:rsidRPr="007B0B53">
        <w:t>Toffoli</w:t>
      </w:r>
      <w:proofErr w:type="spellEnd"/>
      <w:r w:rsidR="005C052B" w:rsidRPr="007B0B53">
        <w:t xml:space="preserve">, relator do caso, a regra deve estabelecer que os pedidos de quebra de sigilo sem autorização judicial precisam se limitar a dados cadastrais. A tese de </w:t>
      </w:r>
      <w:proofErr w:type="spellStart"/>
      <w:r w:rsidR="005C052B" w:rsidRPr="007B0B53">
        <w:t>Toffoli</w:t>
      </w:r>
      <w:proofErr w:type="spellEnd"/>
      <w:r w:rsidR="005C052B" w:rsidRPr="007B0B53">
        <w:t xml:space="preserve"> diz que o poder de requisição previsto na norma questionada não dispensa a autorização judicial nas hipóteses garantidas pela Constituição e pela legislação. Segundo o relator, os delegados podem pedir diretamente às concessionárias de telefonia somente dados como </w:t>
      </w:r>
      <w:r w:rsidR="005C052B" w:rsidRPr="007B0B53">
        <w:lastRenderedPageBreak/>
        <w:t>nome completo, filiação e endereço do titular da linha. Assim, a autorização judicial é exigida para uma série de medidas:</w:t>
      </w:r>
    </w:p>
    <w:p w:rsidR="005C052B" w:rsidRPr="007B0B53" w:rsidRDefault="005C052B" w:rsidP="005C052B">
      <w:pPr>
        <w:numPr>
          <w:ilvl w:val="0"/>
          <w:numId w:val="1"/>
        </w:numPr>
        <w:spacing w:before="60"/>
        <w:ind w:left="0" w:firstLine="0"/>
        <w:rPr>
          <w:rFonts w:cs="Times New Roman"/>
          <w:szCs w:val="24"/>
        </w:rPr>
      </w:pPr>
      <w:r w:rsidRPr="007B0B53">
        <w:rPr>
          <w:rFonts w:cs="Times New Roman"/>
          <w:szCs w:val="24"/>
        </w:rPr>
        <w:t>Interceptações de voz</w:t>
      </w:r>
    </w:p>
    <w:p w:rsidR="005C052B" w:rsidRPr="007B0B53" w:rsidRDefault="005C052B" w:rsidP="005C052B">
      <w:pPr>
        <w:numPr>
          <w:ilvl w:val="0"/>
          <w:numId w:val="1"/>
        </w:numPr>
        <w:spacing w:before="60"/>
        <w:ind w:left="0" w:firstLine="0"/>
        <w:rPr>
          <w:rFonts w:cs="Times New Roman"/>
          <w:szCs w:val="24"/>
        </w:rPr>
      </w:pPr>
      <w:r w:rsidRPr="007B0B53">
        <w:rPr>
          <w:rFonts w:cs="Times New Roman"/>
          <w:szCs w:val="24"/>
        </w:rPr>
        <w:t>Interceptações telemáticas</w:t>
      </w:r>
    </w:p>
    <w:p w:rsidR="005C052B" w:rsidRPr="007B0B53" w:rsidRDefault="005C052B" w:rsidP="005C052B">
      <w:pPr>
        <w:numPr>
          <w:ilvl w:val="0"/>
          <w:numId w:val="1"/>
        </w:numPr>
        <w:spacing w:before="60"/>
        <w:ind w:left="0" w:firstLine="0"/>
        <w:rPr>
          <w:rFonts w:cs="Times New Roman"/>
          <w:szCs w:val="24"/>
        </w:rPr>
      </w:pPr>
      <w:r w:rsidRPr="007B0B53">
        <w:rPr>
          <w:rFonts w:cs="Times New Roman"/>
          <w:szCs w:val="24"/>
        </w:rPr>
        <w:t>Extratos de chamadas ou registros telefônicos</w:t>
      </w:r>
    </w:p>
    <w:p w:rsidR="005C052B" w:rsidRPr="007B0B53" w:rsidRDefault="005C052B" w:rsidP="005C052B">
      <w:pPr>
        <w:numPr>
          <w:ilvl w:val="0"/>
          <w:numId w:val="1"/>
        </w:numPr>
        <w:spacing w:before="60"/>
        <w:ind w:left="0" w:firstLine="0"/>
        <w:rPr>
          <w:rFonts w:cs="Times New Roman"/>
          <w:szCs w:val="24"/>
        </w:rPr>
      </w:pPr>
      <w:r w:rsidRPr="007B0B53">
        <w:rPr>
          <w:rFonts w:cs="Times New Roman"/>
          <w:szCs w:val="24"/>
        </w:rPr>
        <w:t>Localizações de terminais ou identificação internacional de equipamento móvel (</w:t>
      </w:r>
      <w:proofErr w:type="spellStart"/>
      <w:r w:rsidRPr="007B0B53">
        <w:rPr>
          <w:rFonts w:cs="Times New Roman"/>
          <w:szCs w:val="24"/>
        </w:rPr>
        <w:t>Imei</w:t>
      </w:r>
      <w:proofErr w:type="spellEnd"/>
      <w:r w:rsidRPr="007B0B53">
        <w:rPr>
          <w:rFonts w:cs="Times New Roman"/>
          <w:szCs w:val="24"/>
        </w:rPr>
        <w:t>) de cidadãos em tempo real</w:t>
      </w:r>
    </w:p>
    <w:p w:rsidR="005C052B" w:rsidRPr="007B0B53" w:rsidRDefault="005C052B" w:rsidP="005C052B">
      <w:pPr>
        <w:numPr>
          <w:ilvl w:val="0"/>
          <w:numId w:val="1"/>
        </w:numPr>
        <w:spacing w:before="60"/>
        <w:ind w:left="0" w:firstLine="0"/>
        <w:rPr>
          <w:rFonts w:cs="Times New Roman"/>
          <w:szCs w:val="24"/>
        </w:rPr>
      </w:pPr>
      <w:r w:rsidRPr="007B0B53">
        <w:rPr>
          <w:rFonts w:cs="Times New Roman"/>
          <w:szCs w:val="24"/>
        </w:rPr>
        <w:t>Extratos de antena de celular (para mapear a área onde se encontra o indivíduo)</w:t>
      </w:r>
    </w:p>
    <w:p w:rsidR="005C052B" w:rsidRPr="007B0B53" w:rsidRDefault="005C052B" w:rsidP="005C052B">
      <w:pPr>
        <w:numPr>
          <w:ilvl w:val="0"/>
          <w:numId w:val="1"/>
        </w:numPr>
        <w:spacing w:before="60"/>
        <w:ind w:left="0" w:firstLine="0"/>
        <w:rPr>
          <w:rFonts w:cs="Times New Roman"/>
          <w:szCs w:val="24"/>
        </w:rPr>
      </w:pPr>
      <w:r w:rsidRPr="007B0B53">
        <w:rPr>
          <w:rFonts w:cs="Times New Roman"/>
          <w:szCs w:val="24"/>
        </w:rPr>
        <w:t>Extratos de mensagens de texto</w:t>
      </w:r>
    </w:p>
    <w:p w:rsidR="005C052B" w:rsidRPr="007B0B53" w:rsidRDefault="005C052B" w:rsidP="005C052B">
      <w:pPr>
        <w:numPr>
          <w:ilvl w:val="0"/>
          <w:numId w:val="1"/>
        </w:numPr>
        <w:spacing w:before="60"/>
        <w:ind w:left="0" w:firstLine="0"/>
        <w:rPr>
          <w:rFonts w:cs="Times New Roman"/>
          <w:szCs w:val="24"/>
        </w:rPr>
      </w:pPr>
      <w:r w:rsidRPr="007B0B53">
        <w:rPr>
          <w:rFonts w:cs="Times New Roman"/>
          <w:szCs w:val="24"/>
        </w:rPr>
        <w:t>Serviços de agenda virtual</w:t>
      </w:r>
    </w:p>
    <w:p w:rsidR="005C052B" w:rsidRPr="007B0B53" w:rsidRDefault="005C052B" w:rsidP="005C052B">
      <w:pPr>
        <w:numPr>
          <w:ilvl w:val="0"/>
          <w:numId w:val="1"/>
        </w:numPr>
        <w:spacing w:before="60"/>
        <w:ind w:left="0" w:firstLine="0"/>
        <w:rPr>
          <w:rFonts w:cs="Times New Roman"/>
          <w:szCs w:val="24"/>
        </w:rPr>
      </w:pPr>
      <w:r w:rsidRPr="007B0B53">
        <w:rPr>
          <w:rFonts w:cs="Times New Roman"/>
          <w:szCs w:val="24"/>
        </w:rPr>
        <w:t>Registros de conexão e acesso à internet a partir de determinada linha</w:t>
      </w:r>
    </w:p>
    <w:p w:rsidR="005C052B" w:rsidRPr="007B0B53" w:rsidRDefault="005C052B" w:rsidP="005C052B">
      <w:pPr>
        <w:numPr>
          <w:ilvl w:val="0"/>
          <w:numId w:val="1"/>
        </w:numPr>
        <w:spacing w:before="60"/>
        <w:ind w:left="0" w:firstLine="0"/>
        <w:rPr>
          <w:rFonts w:cs="Times New Roman"/>
          <w:szCs w:val="24"/>
        </w:rPr>
      </w:pPr>
      <w:r w:rsidRPr="007B0B53">
        <w:rPr>
          <w:rFonts w:cs="Times New Roman"/>
          <w:szCs w:val="24"/>
        </w:rPr>
        <w:t>Conteúdos de comunicações privadas armazenadas</w:t>
      </w:r>
    </w:p>
    <w:p w:rsidR="005C052B" w:rsidRPr="007B0B53" w:rsidRDefault="005C052B" w:rsidP="005C052B">
      <w:pPr>
        <w:numPr>
          <w:ilvl w:val="0"/>
          <w:numId w:val="1"/>
        </w:numPr>
        <w:spacing w:before="60"/>
        <w:ind w:left="0" w:firstLine="0"/>
        <w:rPr>
          <w:rFonts w:cs="Times New Roman"/>
          <w:szCs w:val="24"/>
        </w:rPr>
      </w:pPr>
      <w:r w:rsidRPr="007B0B53">
        <w:rPr>
          <w:rFonts w:cs="Times New Roman"/>
          <w:szCs w:val="24"/>
        </w:rPr>
        <w:t>Dados cadastrais de e-mail</w:t>
      </w:r>
    </w:p>
    <w:p w:rsidR="005C052B" w:rsidRPr="007B0B53" w:rsidRDefault="005C052B" w:rsidP="005C052B">
      <w:pPr>
        <w:numPr>
          <w:ilvl w:val="0"/>
          <w:numId w:val="1"/>
        </w:numPr>
        <w:spacing w:before="60"/>
        <w:ind w:left="0" w:firstLine="0"/>
        <w:rPr>
          <w:rFonts w:cs="Times New Roman"/>
          <w:szCs w:val="24"/>
        </w:rPr>
      </w:pPr>
      <w:r w:rsidRPr="007B0B53">
        <w:rPr>
          <w:rFonts w:cs="Times New Roman"/>
          <w:szCs w:val="24"/>
        </w:rPr>
        <w:t>Dados de usuários que usaram um protocolo de internet (IP) em determinado dia, data, hora e fuso</w:t>
      </w:r>
    </w:p>
    <w:p w:rsidR="005C052B" w:rsidRPr="007B0B53" w:rsidRDefault="005C052B" w:rsidP="005C052B">
      <w:pPr>
        <w:pStyle w:val="NormalWeb"/>
        <w:spacing w:before="120" w:beforeAutospacing="0" w:after="0" w:afterAutospacing="0"/>
        <w:jc w:val="both"/>
      </w:pPr>
      <w:r w:rsidRPr="007B0B53">
        <w:t xml:space="preserve">O voto de </w:t>
      </w:r>
      <w:proofErr w:type="spellStart"/>
      <w:r w:rsidRPr="007B0B53">
        <w:t>Toffoli</w:t>
      </w:r>
      <w:proofErr w:type="spellEnd"/>
      <w:r w:rsidRPr="007B0B53">
        <w:t xml:space="preserve"> também traz </w:t>
      </w:r>
      <w:r w:rsidRPr="007B0B53">
        <w:rPr>
          <w:rFonts w:eastAsiaTheme="majorEastAsia"/>
          <w:bCs/>
        </w:rPr>
        <w:t>exceções já previstas</w:t>
      </w:r>
      <w:r w:rsidRPr="007B0B53">
        <w:t> no </w:t>
      </w:r>
      <w:r w:rsidRPr="007B0B53">
        <w:rPr>
          <w:rFonts w:eastAsiaTheme="majorEastAsia"/>
          <w:bCs/>
        </w:rPr>
        <w:t>Código de Processo Penal</w:t>
      </w:r>
      <w:r w:rsidRPr="007B0B53">
        <w:t> </w:t>
      </w:r>
      <w:r w:rsidRPr="007B0B53">
        <w:rPr>
          <w:rFonts w:eastAsiaTheme="majorEastAsia"/>
          <w:bCs/>
        </w:rPr>
        <w:t>desde 2016</w:t>
      </w:r>
      <w:r w:rsidRPr="007B0B53">
        <w:t xml:space="preserve">: a requisição sem autorização judicial pode ocorrer em casos de sequestro, cárcere privado, redução a condição análoga à de escravo, tráfico de pessoas, extorsão mediante restrição da liberdade, extorsão mediante sequestro e envio ilegal de menor ao exterior. Mesmo assim, isso só vale para dados de localização de terminal ou </w:t>
      </w:r>
      <w:proofErr w:type="spellStart"/>
      <w:r w:rsidRPr="007B0B53">
        <w:t>Imei</w:t>
      </w:r>
      <w:proofErr w:type="spellEnd"/>
      <w:r w:rsidRPr="007B0B53">
        <w:t xml:space="preserve"> em tempo real e extratos de antena de celular. “Não se pode admitir que o delegado de polícia tenha acesso irrestrito, ilimitado e/ou independentemente de prévia autorização judicial a toda e qualquer espécie de dados, sob pena de se franquear a essa autoridade acesso indiscriminado a dados sigilosos, ou a dados que, mesmo não revestidos desse atributo, devam gozar de uma proteção jurídica especial”, justificou </w:t>
      </w:r>
      <w:proofErr w:type="spellStart"/>
      <w:r w:rsidRPr="007B0B53">
        <w:t>Toffoli</w:t>
      </w:r>
      <w:proofErr w:type="spellEnd"/>
      <w:r w:rsidRPr="007B0B53">
        <w:t xml:space="preserve">. O entendimento do relator se baseou principalmente na jurisprudência do STF, que já condiciona a obtenção de boa parte desses dados a uma ordem judicial específica. </w:t>
      </w:r>
      <w:proofErr w:type="spellStart"/>
      <w:r w:rsidRPr="007B0B53">
        <w:t>Toffoli</w:t>
      </w:r>
      <w:proofErr w:type="spellEnd"/>
      <w:r w:rsidRPr="007B0B53">
        <w:t xml:space="preserve"> ainda lembrou que, desde a </w:t>
      </w:r>
      <w:r w:rsidRPr="007B0B53">
        <w:rPr>
          <w:rFonts w:eastAsiaTheme="majorEastAsia"/>
          <w:bCs/>
        </w:rPr>
        <w:t>Emenda Constitucional 115/2022</w:t>
      </w:r>
      <w:r w:rsidRPr="007B0B53">
        <w:t xml:space="preserve">, a proteção dos dados pessoais é considerada um direito fundamental autônomo. Para além das situações já analisadas pela Corte, o magistrado estendeu a “inviolabilidade do sigilo das comunicações telefônicas e telemáticas” aos extratos de mensagens de texto e serviços de agenda virtual, por exemplo. “Não é crível que a Constituição de 1988 tenha estabelecido a inviolabilidade da correspondência ou das comunicações telefônicas e do fluxo de dados informáticos e telemáticos e não resguarde, por exemplo, o sigilo de dados transmitidos por outros meios tecnológicos similares — ou neles armazenados”, pontuou o ministro. “Embora esses recursos ou serviços não existissem à época da promulgação da Constituição de 1988, eles parecem se amoldar perfeitamente às expressões mais abertas de que o Poder Constituinte originário se valeu no texto de 1988”, completou. Por fim, </w:t>
      </w:r>
      <w:proofErr w:type="spellStart"/>
      <w:r w:rsidRPr="007B0B53">
        <w:t>Toffoli</w:t>
      </w:r>
      <w:proofErr w:type="spellEnd"/>
      <w:r w:rsidRPr="007B0B53">
        <w:t xml:space="preserve"> ressaltou que suas conclusões também se aplicam às requisições feitas pelo Ministério Público. Isso porque, como já </w:t>
      </w:r>
      <w:r w:rsidRPr="007B0B53">
        <w:rPr>
          <w:rFonts w:eastAsiaTheme="majorEastAsia"/>
          <w:bCs/>
        </w:rPr>
        <w:t>decidido</w:t>
      </w:r>
      <w:r w:rsidRPr="007B0B53">
        <w:t xml:space="preserve"> pelo Supremo, a atividade de investigação criminal não é exclusiva da polícia. Tese alternativa - Zanin concordou que delegados atualmente podem requisitar apenas o acesso direto a dados cadastrais básicos como qualificação pessoal, filiação e endereço. Mas ele considerou que a melhor solução não era listar as medidas possíveis, já que podem surgir novas hipóteses a partir de novas leis. Por essa razão, o ministro propôs uma tese alternativa, segundo a qual o poder de requisição se limita a dados, informações e documentos que representem uma intervenção baixa na privacidade das pessoas. Na visão de Zanin, “cláusulas gerais de autorização”, como a da lei de 2013, “não são suficientes para legitimar intervenções de média ou grave intensidade no direito fundamental à autodeterminação informacional, mas permitem legitimar intervenções de baixa intensidade, que atingem o âmbito mais superficial da esfera do direito”. Assim, não é possível requisitar, sem ordem judicial, o acesso a extratos de chamadas e registros telefônicos ou extratos de mensagens, que contêm informações como destinatário, data, horário, duração das chamadas etc. Dados de localização do usuário também estão excluídos do poder de requisição. A ideia é que o acesso a esses tipos de dados representa uma intervenção intermediária ou grave no direito à privacidade do cidadão. Embora tais dados não revelem o conteúdo das ligações ou mensagens, eles permitem traçar perfis comportamentais: com quem a pessoa se comunica, com qual frequência, a intensidade das relações com seus interlocutores, redes de contato físico, rotinas diárias etc. De acordo com o magistrado, o mesmo vale para registros de conexão e de acesso a aplicações de internet, dados de IP ou dados cadastrais vinculados a um endereço de e-mail. Por </w:t>
      </w:r>
      <w:r w:rsidRPr="007B0B53">
        <w:lastRenderedPageBreak/>
        <w:t>outro lado, são válidas as exceções a essa regra quando houver autorização legal “excepcional e proporcional” para acesso direto a esses dados. Segundo o ministro, o acesso a dados cadastrais básicos como qualificação pessoal, filiação e endereço é garantido pelo CPP, pela</w:t>
      </w:r>
      <w:r w:rsidRPr="007B0B53">
        <w:rPr>
          <w:rFonts w:eastAsiaTheme="majorEastAsia"/>
          <w:bCs/>
        </w:rPr>
        <w:t> Lei de Lavagem de Capitais</w:t>
      </w:r>
      <w:r w:rsidRPr="007B0B53">
        <w:t> e pela </w:t>
      </w:r>
      <w:r w:rsidRPr="007B0B53">
        <w:rPr>
          <w:rFonts w:eastAsiaTheme="majorEastAsia"/>
          <w:bCs/>
        </w:rPr>
        <w:t>Lei de Organizações Criminosas</w:t>
      </w:r>
      <w:r w:rsidRPr="007B0B53">
        <w:t xml:space="preserve">. No caso dos dados cadastrais básicos, a intervenção no direito à privacidade é considerada de baixa intensidade. Isso porque eles não são sensíveis, ou seja, não revelam hábitos ou preferências do indivíduo, sua origem racial ou étnica, sua convicção religiosa, suas </w:t>
      </w:r>
      <w:proofErr w:type="spellStart"/>
      <w:r w:rsidRPr="007B0B53">
        <w:t>opinões</w:t>
      </w:r>
      <w:proofErr w:type="spellEnd"/>
      <w:r w:rsidRPr="007B0B53">
        <w:t xml:space="preserve"> políticas, sua saúde etc.</w:t>
      </w:r>
    </w:p>
    <w:p w:rsidR="00E23DB0" w:rsidRPr="007B0B53" w:rsidRDefault="005C052B" w:rsidP="00A36C52">
      <w:pPr>
        <w:pStyle w:val="NormalWeb"/>
        <w:shd w:val="clear" w:color="auto" w:fill="FFFFFF"/>
        <w:spacing w:before="240" w:beforeAutospacing="0" w:after="0" w:afterAutospacing="0"/>
        <w:jc w:val="both"/>
        <w:textAlignment w:val="baseline"/>
      </w:pPr>
      <w:r w:rsidRPr="007B0B53">
        <w:t xml:space="preserve">STF </w:t>
      </w:r>
      <w:r w:rsidR="00AD37A6" w:rsidRPr="007B0B53">
        <w:t xml:space="preserve">(RE 790059, in </w:t>
      </w:r>
      <w:proofErr w:type="spellStart"/>
      <w:r w:rsidR="00AD37A6" w:rsidRPr="007B0B53">
        <w:t>Conjur</w:t>
      </w:r>
      <w:proofErr w:type="spellEnd"/>
      <w:r w:rsidR="00AD37A6" w:rsidRPr="007B0B53">
        <w:t xml:space="preserve"> 22.09.2025</w:t>
      </w:r>
      <w:r w:rsidR="00CF24D3" w:rsidRPr="007B0B53">
        <w:t xml:space="preserve"> e Notícias STF 22.09.2025</w:t>
      </w:r>
      <w:r w:rsidR="00AD37A6" w:rsidRPr="007B0B53">
        <w:t>)</w:t>
      </w:r>
      <w:r w:rsidR="00A36C52" w:rsidRPr="007B0B53">
        <w:t xml:space="preserve"> </w:t>
      </w:r>
      <w:r w:rsidR="00E23DB0" w:rsidRPr="007B0B53">
        <w:t>Questão de tempo – STF vai decidir se prazo para ações contra os Correios é de cinco anos –</w:t>
      </w:r>
      <w:r w:rsidR="00A36C52" w:rsidRPr="007B0B53">
        <w:t xml:space="preserve"> </w:t>
      </w:r>
      <w:r w:rsidR="00E23DB0" w:rsidRPr="007B0B53">
        <w:rPr>
          <w:shd w:val="clear" w:color="auto" w:fill="FFFFFF"/>
        </w:rPr>
        <w:t xml:space="preserve">O Supremo Tribunal Federal vai decidir se o prazo prescricional de cinco anos para entrar com ações contra a Fazenda Pública se estende às causas contra a Empresa Brasileira de Correios e Telégrafos (ECT). A matéria é objeto de um recurso extraordinário que teve repercussão geral reconhecida no Plenário Virtual (Tema 1.407). Com isso, a tese a ser fixada deverá ser seguida pelos tribunais do país. </w:t>
      </w:r>
      <w:r w:rsidR="00E23DB0" w:rsidRPr="007B0B53">
        <w:t>A discussão tem origem em uma ação movida por uma viação aérea para obter indenização dos Correios pela correção monetária de parcelas de um contrato de transporte de cargas quitadas com atraso.</w:t>
      </w:r>
      <w:r w:rsidR="00E23DB0" w:rsidRPr="007B0B53">
        <w:rPr>
          <w:shd w:val="clear" w:color="auto" w:fill="FFFFFF"/>
        </w:rPr>
        <w:t xml:space="preserve"> </w:t>
      </w:r>
      <w:r w:rsidR="00E23DB0" w:rsidRPr="007B0B53">
        <w:t>Na primeira instância, a ação foi julgada parcialmente procedente, e as duas partes recorreram. No julgamento dos apelos, o Tribunal Regional Federal da 1ª Região estendeu à ECT os privilégios processuais da Fazenda Pública, previstos no Decreto 20.910/1932 e no Decreto-Lei 4.597/1942, entre eles o prazo de cinco anos para exercer direito de ação. De acordo com a Justiça Federal, o STF tem decidido que, por prestar serviço público, os Correios têm direito a privilégios como imunidade recíproca e impenhorabilidade de bens. No Supremo, a viação argumentou que a própria corte já negou a concessão de todas as prerrogativas da Fazenda Pública aos Correios, uma vez que empresas públicas e sociedades de economia mista, de acordo com a Constituição Federal, devem se submeter às regras do regime privado.</w:t>
      </w:r>
      <w:r w:rsidR="00A36C52" w:rsidRPr="007B0B53">
        <w:t xml:space="preserve"> </w:t>
      </w:r>
      <w:r w:rsidR="00E23DB0" w:rsidRPr="007B0B53">
        <w:rPr>
          <w:rStyle w:val="Forte"/>
          <w:rFonts w:eastAsiaTheme="majorEastAsia"/>
          <w:b w:val="0"/>
          <w:bCs w:val="0"/>
        </w:rPr>
        <w:t>Manifestação</w:t>
      </w:r>
      <w:r w:rsidR="00A36C52" w:rsidRPr="007B0B53">
        <w:t xml:space="preserve"> - </w:t>
      </w:r>
      <w:r w:rsidR="00E23DB0" w:rsidRPr="007B0B53">
        <w:t xml:space="preserve">Ao se manifestar pela repercussão geral do tema, o ministro Luiz </w:t>
      </w:r>
      <w:proofErr w:type="spellStart"/>
      <w:r w:rsidR="00E23DB0" w:rsidRPr="007B0B53">
        <w:t>Fux</w:t>
      </w:r>
      <w:proofErr w:type="spellEnd"/>
      <w:r w:rsidR="00E23DB0" w:rsidRPr="007B0B53">
        <w:t xml:space="preserve"> destacou que o Supremo, no julgamento do RE 220.906, reconheceu que a ECT é pessoa jurídica equiparada à Fazenda Pública e, portanto, aplica-se à empresa o privilégio da impenhorabilidade de seus bens, rendas e serviços. Entretanto, a corte ainda não enfrentou a constitucionalidade da prescrição quinquenal.</w:t>
      </w:r>
      <w:r w:rsidR="00A36C52" w:rsidRPr="007B0B53">
        <w:t xml:space="preserve"> </w:t>
      </w:r>
      <w:r w:rsidR="00E23DB0" w:rsidRPr="007B0B53">
        <w:t xml:space="preserve">Para </w:t>
      </w:r>
      <w:proofErr w:type="spellStart"/>
      <w:r w:rsidR="00E23DB0" w:rsidRPr="007B0B53">
        <w:t>Fux</w:t>
      </w:r>
      <w:proofErr w:type="spellEnd"/>
      <w:r w:rsidR="00E23DB0" w:rsidRPr="007B0B53">
        <w:t>, a questão ultrapassa os interesses das partes sob aspectos políticos e sociais e o tema de fundo deve ser examinado para fins de segurança jurídica.</w:t>
      </w:r>
    </w:p>
    <w:p w:rsidR="00222552" w:rsidRPr="007B0B53" w:rsidRDefault="00AD37A6" w:rsidP="00222552">
      <w:pPr>
        <w:pStyle w:val="NormalWeb"/>
        <w:shd w:val="clear" w:color="auto" w:fill="FFFFFF"/>
        <w:spacing w:before="240" w:beforeAutospacing="0" w:after="0" w:afterAutospacing="0"/>
        <w:jc w:val="both"/>
        <w:textAlignment w:val="baseline"/>
      </w:pPr>
      <w:r w:rsidRPr="007B0B53">
        <w:t xml:space="preserve">STF </w:t>
      </w:r>
      <w:r w:rsidR="00222552" w:rsidRPr="007B0B53">
        <w:t xml:space="preserve">(ADI 7852, in Notícias STF 22.09.2025) STF suspende lei paulista que regulamenta </w:t>
      </w:r>
      <w:proofErr w:type="spellStart"/>
      <w:r w:rsidR="00222552" w:rsidRPr="007B0B53">
        <w:t>mototáxis</w:t>
      </w:r>
      <w:proofErr w:type="spellEnd"/>
      <w:r w:rsidR="00222552" w:rsidRPr="007B0B53">
        <w:t xml:space="preserve"> - </w:t>
      </w:r>
      <w:r w:rsidR="00222552" w:rsidRPr="007B0B53">
        <w:rPr>
          <w:spacing w:val="-5"/>
        </w:rPr>
        <w:t>Ministro Alexandre de Moraes citou precedentes que vedam restrições ao transporte individual de passageiros -</w:t>
      </w:r>
      <w:r w:rsidR="00222552" w:rsidRPr="007B0B53">
        <w:t xml:space="preserve"> O ministro Alexandre de Moraes, do Supremo Tribunal Federal (STF), suspendeu a eficácia de uma lei do Estado de São Paulo que cria regras para o transporte individual remunerado de passageiros por motocicleta. A decisão foi tomada na Ação Direta de Inconstitucionalidade </w:t>
      </w:r>
      <w:r w:rsidR="00222552" w:rsidRPr="007B0B53">
        <w:rPr>
          <w:rStyle w:val="Forte"/>
          <w:b w:val="0"/>
        </w:rPr>
        <w:t>(ADI) 7852</w:t>
      </w:r>
      <w:r w:rsidR="00222552" w:rsidRPr="007B0B53">
        <w:t xml:space="preserve">. Entre outros pontos, a Lei estadual 18.156/2025 condiciona a prestação desse serviço à autorização e à regulamentação pelos municípios. Na ação, a Confederação Nacional de Serviços (CNS) aponta invasão da competência da União para legislar sobre trânsito e transporte. Também aponta que a norma viola a livre iniciativa, pois classifica o transporte privado individual de passageiros por aplicativo como atividade econômica, e não como serviço público. </w:t>
      </w:r>
      <w:r w:rsidR="00222552" w:rsidRPr="007B0B53">
        <w:rPr>
          <w:rStyle w:val="Forte"/>
          <w:b w:val="0"/>
          <w:bCs w:val="0"/>
        </w:rPr>
        <w:t>Manifestações -</w:t>
      </w:r>
      <w:r w:rsidR="00222552" w:rsidRPr="007B0B53">
        <w:t xml:space="preserve"> Em informações prestadas nos autos, a Assembleia Legislativa do Estado de São Paulo (</w:t>
      </w:r>
      <w:proofErr w:type="spellStart"/>
      <w:r w:rsidR="00222552" w:rsidRPr="007B0B53">
        <w:t>Alesp</w:t>
      </w:r>
      <w:proofErr w:type="spellEnd"/>
      <w:r w:rsidR="00222552" w:rsidRPr="007B0B53">
        <w:t xml:space="preserve">) defende que a norma trata de proteção ao consumidor e à saúde. No mesmo sentido, o governador de São Paulo argumentou que o estado tem competência para suplementar a legislação federal nesses temas. A Advocacia-Geral da União (AGU) e a Procuradoria-Geral da República (PGR), por sua vez, consideram que houve invasão da competência da União para legislar sobre trânsito e transporte. </w:t>
      </w:r>
      <w:r w:rsidR="00222552" w:rsidRPr="007B0B53">
        <w:rPr>
          <w:rStyle w:val="Forte"/>
          <w:b w:val="0"/>
          <w:bCs w:val="0"/>
        </w:rPr>
        <w:t>Livre iniciativa e livre concorrência -</w:t>
      </w:r>
      <w:r w:rsidR="00222552" w:rsidRPr="007B0B53">
        <w:t xml:space="preserve"> Na decisão, o relator observou que o STF já fixou, no Tema 967 da repercussão geral, que proibir ou restringir o transporte por motorista de aplicativo é inconstitucional, por violar os princípios da livre iniciativa e da livre concorrência. Ainda segundo a tese, ao regulamentar a atividade, municípios e o Distrito Federal não podem contrariar a norma federal. O ministro salientou que a lei paulista, embora não proíba a atividade, cria critérios e exigências não previstos na lei federal que dificultam seu exercício. Ele considera que a norma contraria o modelo constitucional de divisão de competências ao permitir que os municípios controlem a oferta de transporte por aplicativos e regulamentem o serviço de forma incompatível com a legislação federal. A decisão de suspender a eficácia da lei, até a decisão final do STF, levou em consideração que, além do obstáculo excessivo ao exercício profissional do serviço, existe o risco de que os demais estados editem normas semelhantes, invadindo a competência da União para legislar sobre o tema.</w:t>
      </w:r>
    </w:p>
    <w:p w:rsidR="00793B62" w:rsidRPr="007B0B53" w:rsidRDefault="00793B62" w:rsidP="00793B62">
      <w:pPr>
        <w:pStyle w:val="NormalWeb"/>
        <w:shd w:val="clear" w:color="auto" w:fill="FFFFFF"/>
        <w:spacing w:before="240" w:beforeAutospacing="0" w:after="0" w:afterAutospacing="0"/>
        <w:jc w:val="both"/>
        <w:textAlignment w:val="baseline"/>
      </w:pPr>
      <w:r w:rsidRPr="007B0B53">
        <w:lastRenderedPageBreak/>
        <w:t xml:space="preserve">STF (ADI 7875, in Notícias STF 19.09.2025) Lei que regulamenta </w:t>
      </w:r>
      <w:r w:rsidR="00222552" w:rsidRPr="007B0B53">
        <w:t>pesquisas científicas com seres</w:t>
      </w:r>
      <w:r w:rsidR="00743E24" w:rsidRPr="007B0B53">
        <w:t xml:space="preserve"> </w:t>
      </w:r>
      <w:r w:rsidRPr="007B0B53">
        <w:t xml:space="preserve">humanos é questionada no STF - </w:t>
      </w:r>
      <w:r w:rsidRPr="007B0B53">
        <w:rPr>
          <w:spacing w:val="-5"/>
        </w:rPr>
        <w:t>Para Sociedade Brasileira de Bioética, norma viola direito à saúde e autonomia de pacientes -</w:t>
      </w:r>
      <w:r w:rsidRPr="007B0B53">
        <w:t xml:space="preserve"> A Sociedade Brasileira de Bioética entrou com ação no Supremo Tribunal Federal (STF) contra a lei que regulamenta pesquisas científicas com seres humanos. A Ação Direta de Inconstitucionalidade (ADI) 7875 foi distribuída ao ministro Cristiano Zanin. A entidade sustenta que a Lei 14.874/2024 restringe o direito de indivíduos em condição de vulnerabilidade ao acesso contínuo a tratamentos eficazes após o término dos estudos, o que violaria princípios constitucionais como o direito fundamental à saúde. Na ação, a entidade também sustenta que a norma, de origem parlamentar, criou órgão vinculado ao Ministério da Saúde, usurpando competência reservada ao Poder Executivo, levando à sua inconstitucionalidade devido ao vício de iniciativa. Argumenta, ainda, que a legislação impõe ao Sistema Único de Saúde (SUS) e a instituições públicas custos adicionais sem previsão orçamentária e fragiliza garantias de autonomia e consentimento informado de participantes de pesquisas, especialmente em situações de emergência. Outro ponto destacado é a ausência de participação social efetiva na governança da ética em pesquisa, em desacordo com a diretriz constitucional de controle social no SUS.</w:t>
      </w:r>
    </w:p>
    <w:p w:rsidR="00B931D3" w:rsidRPr="007B0B53" w:rsidRDefault="006A25B4" w:rsidP="00B931D3">
      <w:pPr>
        <w:pStyle w:val="NormalWeb"/>
        <w:shd w:val="clear" w:color="auto" w:fill="FFFFFF"/>
        <w:spacing w:before="240" w:beforeAutospacing="0" w:after="0" w:afterAutospacing="0"/>
        <w:jc w:val="both"/>
        <w:textAlignment w:val="baseline"/>
      </w:pPr>
      <w:r w:rsidRPr="007B0B53">
        <w:t xml:space="preserve">STF </w:t>
      </w:r>
      <w:r w:rsidR="00B931D3" w:rsidRPr="007B0B53">
        <w:t xml:space="preserve">(ADI 7864, in Notícias STF 19.09.2025) Liminar retira de conselhos regionais de medicina poder de interditar cursos de graduação - </w:t>
      </w:r>
      <w:r w:rsidR="00B931D3" w:rsidRPr="007B0B53">
        <w:rPr>
          <w:spacing w:val="-5"/>
        </w:rPr>
        <w:t>Decisão do ministro Flávio Dino reforça que resolução do CFM exorbitou os limites de sua competência normativa -</w:t>
      </w:r>
      <w:r w:rsidR="00B931D3" w:rsidRPr="007B0B53">
        <w:t xml:space="preserve"> O ministro do Supremo Tribunal Federal (STF) Flávio Dino suspendeu trechos de resolução do Conselho Federal de Medicina (CFM) que possibilitavam aos conselhos regionais interferir na organização e nas atividades acadêmicas das instituições que ofertam cursos de medicina, inclusive com poder de interditá-las. A medida cautelar foi concedida na Ação Direta de Inconstitucionalidade </w:t>
      </w:r>
      <w:r w:rsidR="00B931D3" w:rsidRPr="007B0B53">
        <w:rPr>
          <w:rStyle w:val="Forte"/>
          <w:b w:val="0"/>
        </w:rPr>
        <w:t>(ADI) 7864</w:t>
      </w:r>
      <w:r w:rsidR="00B931D3" w:rsidRPr="007B0B53">
        <w:t>, ajuizada pela Associação dos Mantenedores Independentes Educadores do Ensino Superior (AMIES), na qual requereu a suspensão integral da Resolução do CFM 2.434/2025 por usurpar a competência privativa da União. Dino deferiu parcialmente o pedido, ou seja, suspendendo apenas alguns dispositivos da norma questionada, como a interdição de cursos, a anuência em convênios e a fixação de parâmetros para os salários de funcionários. Ao analisar os limites da atuação dos conselhos de classe, o ministro Flávio Dino ressaltou que sua competência normativa é restrita ao campo técnico e fiscalizatório das profissões que regulam. “Sem extrapolar para a esfera educacional ou criar obrigações não previstas em lei”, o que inclui a impossibilidade de impor regras diretamente às universidades. Na decisão, o ministro afirma que o CFM e os conselhos regionais de medicina podem e devem apontar irregularidades, mas reportando-se às autoridades educacionais competentes, conforme fixa a lei, “sob pena inclusive de se gerar comandos contraditórios e insuportável insegurança jurídica”. O caso será submetido a referendo do Plenário.</w:t>
      </w:r>
    </w:p>
    <w:p w:rsidR="00743E24" w:rsidRPr="007B0B53" w:rsidRDefault="00743E24" w:rsidP="00743E24">
      <w:pPr>
        <w:pStyle w:val="NormalWeb"/>
        <w:shd w:val="clear" w:color="auto" w:fill="FFFFFF"/>
        <w:spacing w:before="240" w:beforeAutospacing="0" w:after="0" w:afterAutospacing="0"/>
        <w:jc w:val="both"/>
        <w:textAlignment w:val="baseline"/>
      </w:pPr>
      <w:r w:rsidRPr="007B0B53">
        <w:t xml:space="preserve">STF (ADPF 1247, in Notícias STF 16.09.2025) STF libera ingresso de novos alunos em universidades municipais fora do território local criadas antes de 1988 - </w:t>
      </w:r>
      <w:r w:rsidRPr="007B0B53">
        <w:rPr>
          <w:spacing w:val="-5"/>
        </w:rPr>
        <w:t xml:space="preserve">Decisão do ministro Flávio Dino reconsidera parcialmente liminar deferida no mês passado – </w:t>
      </w:r>
      <w:r w:rsidRPr="007B0B53">
        <w:t>O ministro do Supremo Tribunal Federal (STF) Flávio Dino autorizou o ingresso de novos alunos em Instituições Municipais de Ensino Superior (IMES) criadas antes da Constituição Federal de 1988, localizadas fora da sede do município, inclusive com cobrança de mensalidades.</w:t>
      </w:r>
      <w:r w:rsidRPr="007B0B53">
        <w:rPr>
          <w:spacing w:val="-5"/>
        </w:rPr>
        <w:t xml:space="preserve"> </w:t>
      </w:r>
      <w:r w:rsidRPr="007B0B53">
        <w:t>A decisão do ministro atende a recursos (embargos de declaração) apresentados pelos municípios de Taubaté (SP), Mineiros (GO), Rio Verde (GO) e pela Universidade de Taubaté (SP) no âmbito da Arguição de Descumprimento de Preceito Fundamental </w:t>
      </w:r>
      <w:r w:rsidRPr="007B0B53">
        <w:rPr>
          <w:rStyle w:val="Forte"/>
          <w:rFonts w:eastAsiaTheme="majorEastAsia"/>
          <w:b w:val="0"/>
        </w:rPr>
        <w:t>(ADPF) 1247</w:t>
      </w:r>
      <w:r w:rsidRPr="007B0B53">
        <w:t>.</w:t>
      </w:r>
      <w:r w:rsidRPr="007B0B53">
        <w:rPr>
          <w:spacing w:val="-5"/>
        </w:rPr>
        <w:t xml:space="preserve"> </w:t>
      </w:r>
      <w:r w:rsidRPr="007B0B53">
        <w:t>Liminar deferida pelo ministro, em 28 de agosto, havia determinado a suspensão de novas matrículas nessas instituições. Os municípios pediram esclarecimento quanto ao alcance da liminar em relação às instituições de ensino superior criadas antes da promulgação da Constituição de 1988.</w:t>
      </w:r>
      <w:r w:rsidRPr="007B0B53">
        <w:rPr>
          <w:spacing w:val="-5"/>
        </w:rPr>
        <w:t xml:space="preserve"> </w:t>
      </w:r>
      <w:r w:rsidRPr="007B0B53">
        <w:t>Ao reconsiderar em parte da liminar, Dino disse que a medida busca preservar a sustentabilidade financeira dessas unidades já instaladas e em pleno funcionamento, evitando prejuízos à prestação de serviços educacionais essenciais à população. Ele destacou que a suspensão poderia comprometer não apenas a manutenção das atividades, mas também a segurança jurídica de estudantes, docentes e gestores que agiram de boa-fé com base em autorizações dos Conselhos Estaduais de Educação.</w:t>
      </w:r>
      <w:r w:rsidRPr="007B0B53">
        <w:rPr>
          <w:spacing w:val="-5"/>
        </w:rPr>
        <w:t xml:space="preserve"> </w:t>
      </w:r>
      <w:r w:rsidRPr="007B0B53">
        <w:t>Portanto, segundo o ministro, a autorização vale apenas para cursos e campi efetivamente em funcionamento tanto dentro quanto fora do município sede, vinculados a instituições criadas antes da Constituição de 1988.</w:t>
      </w:r>
      <w:r w:rsidRPr="007B0B53">
        <w:rPr>
          <w:spacing w:val="-5"/>
        </w:rPr>
        <w:t xml:space="preserve"> </w:t>
      </w:r>
      <w:r w:rsidRPr="007B0B53">
        <w:t xml:space="preserve">Por outro lado, continua suspensa a criação de novos cursos e unidades fora do município de origem. Os cursos já criados, mas que não estejam efetivamente em funcionamento fora da sede municipal, não podem iniciar atividades. “Estas vedações se aplicam às </w:t>
      </w:r>
      <w:r w:rsidRPr="007B0B53">
        <w:lastRenderedPageBreak/>
        <w:t>instituições municipais criadas após a Constituição de 1988, sendo que estas não podem cobrar mensalidades”, explicou.</w:t>
      </w:r>
    </w:p>
    <w:p w:rsidR="00D44C94" w:rsidRPr="007B0B53" w:rsidRDefault="00C75960" w:rsidP="00D44C94">
      <w:pPr>
        <w:pStyle w:val="NormalWeb"/>
        <w:shd w:val="clear" w:color="auto" w:fill="FFFFFF"/>
        <w:spacing w:before="240" w:beforeAutospacing="0" w:after="0" w:afterAutospacing="0"/>
        <w:jc w:val="both"/>
        <w:textAlignment w:val="baseline"/>
      </w:pPr>
      <w:r w:rsidRPr="007B0B53">
        <w:t>STF (ADI 7640, in Notícias STF 16.09.2025)</w:t>
      </w:r>
      <w:r w:rsidR="00D44C94" w:rsidRPr="007B0B53">
        <w:t xml:space="preserve"> Loterias estaduais podem ser exploradas pelo mesmo grupo econômico, decide STF - </w:t>
      </w:r>
      <w:r w:rsidR="00D44C94" w:rsidRPr="007B0B53">
        <w:rPr>
          <w:spacing w:val="-5"/>
        </w:rPr>
        <w:t>Plenário também derrubou parte da lei federal que impedia a publicidade dos jogos em âmbito nacional -</w:t>
      </w:r>
      <w:r w:rsidR="00D44C94" w:rsidRPr="007B0B53">
        <w:t xml:space="preserve"> Por unanimidade, o Plenário do Supremo Tribunal Federal (STF) decidiu que as loterias estaduais poderão ser operadas por um mesmo grupo econômico em mais de um estado da federação. Além disso, a publicidade desse serviço pode ter alcance nacional. A decisão foi tomada no julgamento da Ação Direta de Inconstitucionalidade </w:t>
      </w:r>
      <w:r w:rsidR="00D44C94" w:rsidRPr="007B0B53">
        <w:rPr>
          <w:rStyle w:val="Forte"/>
          <w:b w:val="0"/>
        </w:rPr>
        <w:t>(ADI) 7640</w:t>
      </w:r>
      <w:r w:rsidR="00D44C94" w:rsidRPr="007B0B53">
        <w:t xml:space="preserve">, na sessão virtual concluída em 12/9/2025. A ação foi proposta pelos governadores de São Paulo, Minas Gerais, Acre, Mato Grosso do Sul, Rio de Janeiro e Distrito Federal contra dispositivos da chamada Lei das Apostas Esportivas (Lei 14790/2023), que alterou a Lei Federal 13.756/2018. Eles alegavam, entre outros pontos, que as restrições aos grupos econômicos e à publicidade prejudicam a livre concorrência, além de favorecer estados com populações maiores. O colegiado seguiu, com pequenas ressalvas, o voto do ministro Luiz </w:t>
      </w:r>
      <w:proofErr w:type="spellStart"/>
      <w:r w:rsidR="00D44C94" w:rsidRPr="007B0B53">
        <w:t>Fux</w:t>
      </w:r>
      <w:proofErr w:type="spellEnd"/>
      <w:r w:rsidR="00D44C94" w:rsidRPr="007B0B53">
        <w:t xml:space="preserve"> (relator). O entendimento foi o de que a medida é desproporcional e afronta os princípios da livre iniciativa e da livre concorrência. Além disso, a medida prejudica os usuários de loterias e afeta economicamente os estados, por retirar deles um meio legítimo de autofinanciamento. Citando dados de 2023 da Caixa Econômica Federal de que a Loteria Federal arrecadou R$ 23,4 bilhões, o ministro destacou o poder de arrecadação desse serviço, salientando que grande parte desse montante foi repassado para programas sociais e políticas públicas de incentivo ao esporte. Sobre a restrição à publicidade, </w:t>
      </w:r>
      <w:proofErr w:type="spellStart"/>
      <w:r w:rsidR="00D44C94" w:rsidRPr="007B0B53">
        <w:t>Fux</w:t>
      </w:r>
      <w:proofErr w:type="spellEnd"/>
      <w:r w:rsidR="00D44C94" w:rsidRPr="007B0B53">
        <w:t xml:space="preserve"> não considera razoável, por exemplo, que a loteria de um estado não possa patrocinar um atleta ou uma equipe esportiva de outro, ou ainda, que seja impedida de promover uma ação de marketing geral de eventos esportivos ou patrocínio de atletas e torneios. </w:t>
      </w:r>
      <w:r w:rsidR="00D44C94" w:rsidRPr="007B0B53">
        <w:rPr>
          <w:rStyle w:val="Forte"/>
          <w:b w:val="0"/>
          <w:bCs w:val="0"/>
        </w:rPr>
        <w:t>Precedentes</w:t>
      </w:r>
      <w:r w:rsidR="00D44C94" w:rsidRPr="007B0B53">
        <w:t xml:space="preserve"> - O relator lembrou ainda que, no julgamento das Arguições de Descumprimento de Preceito Fundamental (</w:t>
      </w:r>
      <w:proofErr w:type="spellStart"/>
      <w:r w:rsidR="00D44C94" w:rsidRPr="007B0B53">
        <w:t>ADPFs</w:t>
      </w:r>
      <w:proofErr w:type="spellEnd"/>
      <w:r w:rsidR="00D44C94" w:rsidRPr="007B0B53">
        <w:t>) 492 e 493 e da ADI 4986, o STF definiu que a União não pode ter o monopólio da operação de serviços lotéricos e que, ao editar leis sobre o setor, não pode instituir tratamento diferenciado entre os estados.</w:t>
      </w:r>
    </w:p>
    <w:p w:rsidR="00094415" w:rsidRPr="007B0B53" w:rsidRDefault="00B931D3" w:rsidP="00F51C08">
      <w:pPr>
        <w:pStyle w:val="NormalWeb"/>
        <w:shd w:val="clear" w:color="auto" w:fill="FFFFFF"/>
        <w:spacing w:before="240" w:beforeAutospacing="0" w:after="0" w:afterAutospacing="0"/>
        <w:jc w:val="both"/>
        <w:textAlignment w:val="baseline"/>
      </w:pPr>
      <w:r w:rsidRPr="007B0B53">
        <w:t xml:space="preserve">STF </w:t>
      </w:r>
      <w:r w:rsidR="00094415" w:rsidRPr="007B0B53">
        <w:t>(</w:t>
      </w:r>
      <w:r w:rsidR="00F51C08" w:rsidRPr="007B0B53">
        <w:t>ADI 7662</w:t>
      </w:r>
      <w:r w:rsidR="00094415" w:rsidRPr="007B0B53">
        <w:t>, in Notícias STF 15.09.2025</w:t>
      </w:r>
      <w:r w:rsidR="00F51C08" w:rsidRPr="007B0B53">
        <w:t xml:space="preserve">) </w:t>
      </w:r>
      <w:r w:rsidR="00094415" w:rsidRPr="007B0B53">
        <w:t>STF mantém liminar que liberou escolas cívico-militares no Estado de São Paulo</w:t>
      </w:r>
      <w:r w:rsidR="00F51C08" w:rsidRPr="007B0B53">
        <w:t xml:space="preserve"> - </w:t>
      </w:r>
      <w:r w:rsidR="00094415" w:rsidRPr="007B0B53">
        <w:rPr>
          <w:spacing w:val="-5"/>
        </w:rPr>
        <w:t>Por unanimidade, o Plenário referendou decisão do ministro Gilmar Mendes tomada em novembro do ano passado</w:t>
      </w:r>
      <w:r w:rsidR="00F51C08" w:rsidRPr="007B0B53">
        <w:rPr>
          <w:spacing w:val="-5"/>
        </w:rPr>
        <w:t xml:space="preserve"> -</w:t>
      </w:r>
      <w:r w:rsidR="00F51C08" w:rsidRPr="007B0B53">
        <w:t xml:space="preserve"> </w:t>
      </w:r>
      <w:r w:rsidR="00EA2590" w:rsidRPr="007B0B53">
        <w:t>O Supremo Tribunal Federal (STF) referendou, por unanimidade, decisão do ministro Gilmar Mendes e manteve em vigor, em caráter liminar (provisório), a lei que instituiu o modelo de escolas cívico-militares no Estado de São Paulo.</w:t>
      </w:r>
      <w:r w:rsidR="00F51C08" w:rsidRPr="007B0B53">
        <w:t xml:space="preserve"> </w:t>
      </w:r>
      <w:r w:rsidR="00EA2590" w:rsidRPr="007B0B53">
        <w:t>A liminar foi concedida em novembro do ano passado, no âmbito da Ação Direta de Inconstitucionalidade (ADI) 7662, a pedido do governo paulista. À época, Mendes cassou decisão do Tribunal de Justiça de São Paulo (TJ-SP) que havia suspendido a implantação do modelo.</w:t>
      </w:r>
      <w:r w:rsidR="00F51C08" w:rsidRPr="007B0B53">
        <w:t xml:space="preserve"> </w:t>
      </w:r>
      <w:r w:rsidR="00EA2590" w:rsidRPr="007B0B53">
        <w:t xml:space="preserve">Ao analisar o caso, o relator entendeu que o TJ-SP usurpou competência do STF ao sustar a aplicação da norma. Isso porque a Lei Complementar 1.398/2024, que criou as escolas cívico-militares, também é objeto de questionamento no Supremo, nas </w:t>
      </w:r>
      <w:proofErr w:type="spellStart"/>
      <w:r w:rsidR="00EA2590" w:rsidRPr="007B0B53">
        <w:t>ADIs</w:t>
      </w:r>
      <w:proofErr w:type="spellEnd"/>
      <w:r w:rsidR="00EA2590" w:rsidRPr="007B0B53">
        <w:t xml:space="preserve"> 7662 e 7675.</w:t>
      </w:r>
      <w:r w:rsidR="00F51C08" w:rsidRPr="007B0B53">
        <w:t xml:space="preserve"> </w:t>
      </w:r>
      <w:r w:rsidR="00EA2590" w:rsidRPr="007B0B53">
        <w:t>Segundo o ministro, a jurisprudência consolidada da Corte determina que, diante de ação em trâmite no STF, deve ser suspenso o andamento de processos relacionados em instâncias inferiores até o julgamento definitivo. Mendes destacou ainda que o TJ-SP tinha ciência das ações no Supremo, mas mesmo assim proferiu decisão, interferindo na jurisdição da Corte.</w:t>
      </w:r>
      <w:r w:rsidR="00F51C08" w:rsidRPr="007B0B53">
        <w:t xml:space="preserve"> </w:t>
      </w:r>
      <w:r w:rsidR="00EA2590" w:rsidRPr="007B0B53">
        <w:t>O ministro enfatizou que, neste momento, não está em discussão a constitucionalidade do modelo, cujo mérito será avaliado oportunamente.</w:t>
      </w:r>
      <w:r w:rsidR="00F51C08" w:rsidRPr="007B0B53">
        <w:t xml:space="preserve"> </w:t>
      </w:r>
      <w:r w:rsidR="00EA2590" w:rsidRPr="007B0B53">
        <w:t>O referendo do Plenário ocorreu na sessão virtual encerrada em 12/9.</w:t>
      </w:r>
    </w:p>
    <w:p w:rsidR="00D66F5E" w:rsidRPr="007B0B53" w:rsidRDefault="00D66F5E" w:rsidP="00D66F5E">
      <w:pPr>
        <w:pStyle w:val="NormalWeb"/>
        <w:shd w:val="clear" w:color="auto" w:fill="FFFFFF"/>
        <w:spacing w:before="240" w:beforeAutospacing="0" w:after="0" w:afterAutospacing="0"/>
        <w:jc w:val="both"/>
        <w:textAlignment w:val="baseline"/>
      </w:pPr>
      <w:r w:rsidRPr="007B0B53">
        <w:t xml:space="preserve">STF (ADI 7640, in </w:t>
      </w:r>
      <w:proofErr w:type="spellStart"/>
      <w:r w:rsidRPr="007B0B53">
        <w:t>Conjur</w:t>
      </w:r>
      <w:proofErr w:type="spellEnd"/>
      <w:r w:rsidRPr="007B0B53">
        <w:t xml:space="preserve"> 11.09.2025</w:t>
      </w:r>
      <w:r w:rsidR="00C235EB" w:rsidRPr="007B0B53">
        <w:t xml:space="preserve"> e Informativo STF 1190</w:t>
      </w:r>
      <w:r w:rsidRPr="007B0B53">
        <w:t xml:space="preserve">) </w:t>
      </w:r>
      <w:r w:rsidR="00C235EB" w:rsidRPr="007B0B53">
        <w:rPr>
          <w:u w:val="single"/>
        </w:rPr>
        <w:t>Informativo STF</w:t>
      </w:r>
      <w:r w:rsidR="00C235EB" w:rsidRPr="007B0B53">
        <w:t xml:space="preserve">: </w:t>
      </w:r>
      <w:r w:rsidR="00817471" w:rsidRPr="007B0B53">
        <w:rPr>
          <w:bCs/>
        </w:rPr>
        <w:t>São inconstitucionais -</w:t>
      </w:r>
      <w:r w:rsidR="00C235EB" w:rsidRPr="007B0B53">
        <w:rPr>
          <w:bCs/>
        </w:rPr>
        <w:t xml:space="preserve"> por usurparem a autonomia federativa dos estados-membros e ofenderem os princípios da proporcionalidade, da livre concorrência e da livre iniciativa, bem como o q</w:t>
      </w:r>
      <w:r w:rsidR="00817471" w:rsidRPr="007B0B53">
        <w:rPr>
          <w:bCs/>
        </w:rPr>
        <w:t>ue prevê o art. 175 da CF/1988 -</w:t>
      </w:r>
      <w:r w:rsidR="00C235EB" w:rsidRPr="007B0B53">
        <w:rPr>
          <w:bCs/>
        </w:rPr>
        <w:t xml:space="preserve"> normas federais que restringem a participação de grupos econômicos e empresas em contratos de concessão para a exploração de loterias estaduais, e para a realização de publicidade desses serviços. </w:t>
      </w:r>
      <w:r w:rsidR="00C235EB" w:rsidRPr="007B0B53">
        <w:t xml:space="preserve">Conforme jurisprudência desta Corte [Precedentes citados: ADPF 492, ADPF 493 e ADI 4986], a União, no exercício da sua competência privativa para legislar sobre serviços lotéricos (CF/1988, art. 22, XX), não pode instituir tratamento privilegiado para si ou para qualquer estado-membro em prejuízo dos demais nem excluir a competência material dos entes federativos para explorar esses serviços. O texto constitucional autoriza, expressamente, os estados-membros a explorarem o serviço público de loterias como fonte alternativa de financiamento de suas atividades, de modo que a União não pode impor </w:t>
      </w:r>
      <w:r w:rsidR="00C235EB" w:rsidRPr="007B0B53">
        <w:lastRenderedPageBreak/>
        <w:t>obstáculos injustificados, sob pena de ofensa ao federalismo fiscal e à respectiva autonomia financeira. Nesse contexto, qualquer limitação em lei federal deve observar a regra da proporcionalidade e garantir a igualdade entre os entes federativos. Apesar da intenção legítima de evitar concentração de mercado e preservar a livre concorrência, a referida limitação às concessionárias lotéricas não é proporcional, pois se mostra inadequada para atingir esse objetivo. Propicia-se a geração de um cenário desvantajoso aos estados menores e seus respectivos usuários e consumidores, na medida em que os sujeita a contratar empresas geralmente menos qualificadas, o que resulta em tarifas mais altas e em menores retornos financeiros diretos ao estado concedente. Além disso, dada a limitação territorial (física e digital) para a comercialização dos serviços lotéricos estaduais, não há justificativa plausível para restringir a utilização de meios de publicidade fora do estado concedente, pois isso impede o pleno exercício da exploração de loterias pelos estados sem promover interesses constitucionais eventualmente conflitantes. Com base nesses e em outros entendimentos, o Plenário, por unanimidade, julgou procedente a ação para declarar a inconstitucionalidade (i) do § 2º do art. 35-A da Lei nº 13.756/2018, incluído pela Lei nº 14.790/2023, e (</w:t>
      </w:r>
      <w:proofErr w:type="spellStart"/>
      <w:r w:rsidR="00C235EB" w:rsidRPr="007B0B53">
        <w:t>ii</w:t>
      </w:r>
      <w:proofErr w:type="spellEnd"/>
      <w:r w:rsidR="00C235EB" w:rsidRPr="007B0B53">
        <w:t>) da expressão “</w:t>
      </w:r>
      <w:r w:rsidR="00C235EB" w:rsidRPr="007B0B53">
        <w:rPr>
          <w:i/>
          <w:iCs/>
        </w:rPr>
        <w:t>publicidade</w:t>
      </w:r>
      <w:r w:rsidR="00C235EB" w:rsidRPr="007B0B53">
        <w:t xml:space="preserve">”, constante do § 4º do mesmo art. 35-A. </w:t>
      </w:r>
      <w:proofErr w:type="spellStart"/>
      <w:r w:rsidR="00C235EB" w:rsidRPr="007B0B53">
        <w:rPr>
          <w:u w:val="single"/>
        </w:rPr>
        <w:t>Conjur</w:t>
      </w:r>
      <w:proofErr w:type="spellEnd"/>
      <w:r w:rsidR="00C235EB" w:rsidRPr="007B0B53">
        <w:t xml:space="preserve">: </w:t>
      </w:r>
      <w:r w:rsidRPr="007B0B53">
        <w:t>Sorte lançada – STF tem maioria para permitir que mesmo grupo opere loterias em mais de um estado – O Plenário do Supremo Tribunal Federal formou maioria, nesta quinta-feira (11/9), para invalidar duas regras da nova </w:t>
      </w:r>
      <w:r w:rsidRPr="007B0B53">
        <w:rPr>
          <w:bCs/>
        </w:rPr>
        <w:t xml:space="preserve">Lei das </w:t>
      </w:r>
      <w:proofErr w:type="spellStart"/>
      <w:r w:rsidRPr="007B0B53">
        <w:rPr>
          <w:bCs/>
        </w:rPr>
        <w:t>Bets</w:t>
      </w:r>
      <w:proofErr w:type="spellEnd"/>
      <w:r w:rsidRPr="007B0B53">
        <w:t xml:space="preserve">: a proibição da concessão de exploração de serviços lotéricos a um mesmo grupo econômico em mais de um estado; e a restrição da publicidade das loterias estaduais às pessoas localizadas no estado. O fim do julgamento virtual está previsto para esta sexta (12/9). Assim, uma mesma empresa poderá operar loterias em estados diferentes e fazer propaganda desses serviços em qualquer lugar. Também conhecida como Lei das Apostas Esportivas, a norma foi sancionada no penúltimo dia de 2023. O caso em análise diz respeito apenas a modalidades como loterias de números, de bilhetes numerados e instantâneas. As apostas de quota fixa, conhecidas como </w:t>
      </w:r>
      <w:proofErr w:type="spellStart"/>
      <w:r w:rsidRPr="007B0B53">
        <w:t>bets</w:t>
      </w:r>
      <w:proofErr w:type="spellEnd"/>
      <w:r w:rsidRPr="007B0B53">
        <w:t>, são questionadas em </w:t>
      </w:r>
      <w:r w:rsidRPr="007B0B53">
        <w:rPr>
          <w:bCs/>
        </w:rPr>
        <w:t>outro processo</w:t>
      </w:r>
      <w:r w:rsidRPr="007B0B53">
        <w:t xml:space="preserve"> [ADI 7721]. A ação sobre as loterias foi protocolada no último ano pelos governadores de São Paulo, Rio de Janeiro, Minas Gerais, Paraná, Mato Grosso do Sul, Acre e Distrito Federal. Ainda em 2024, o procurador-geral da República, Paulo </w:t>
      </w:r>
      <w:proofErr w:type="spellStart"/>
      <w:r w:rsidRPr="007B0B53">
        <w:t>Gonet</w:t>
      </w:r>
      <w:proofErr w:type="spellEnd"/>
      <w:r w:rsidRPr="007B0B53">
        <w:t>, </w:t>
      </w:r>
      <w:r w:rsidRPr="007B0B53">
        <w:rPr>
          <w:bCs/>
        </w:rPr>
        <w:t>defendeu a validade</w:t>
      </w:r>
      <w:r w:rsidRPr="007B0B53">
        <w:t> dos trechos contestados. Os governadores </w:t>
      </w:r>
      <w:r w:rsidRPr="007B0B53">
        <w:rPr>
          <w:bCs/>
        </w:rPr>
        <w:t>alegaram</w:t>
      </w:r>
      <w:r w:rsidRPr="007B0B53">
        <w:t xml:space="preserve"> que as restrições impostas pela lei reduzem a participação de empresas em licitações e favorecem um ambiente de competição entre os estados, em que uns tendem a perder mais do que outros. Estados com população maior, ou cuja população tenha maior poder aquisitivo, seriam mais atrativos. Outro argumento é a violação à livre concorrência, já que as loterias ficaram sem o direito de explorar todo o seu potencial publicitário para atrair novos usuários. Poucos dias antes do leilão para a concessão de serviços lotéricos no estado de São Paulo, em outubro do último ano, o ministro Luiz </w:t>
      </w:r>
      <w:proofErr w:type="spellStart"/>
      <w:r w:rsidRPr="007B0B53">
        <w:t>Fux</w:t>
      </w:r>
      <w:proofErr w:type="spellEnd"/>
      <w:r w:rsidRPr="007B0B53">
        <w:t>, relator do caso, </w:t>
      </w:r>
      <w:r w:rsidRPr="007B0B53">
        <w:rPr>
          <w:bCs/>
        </w:rPr>
        <w:t>suspendeu</w:t>
      </w:r>
      <w:r w:rsidRPr="007B0B53">
        <w:t> as regras questionadas. Em seguida, o Plenário começou a analisar se manteria a liminar, mas esse julgamento já foi </w:t>
      </w:r>
      <w:r w:rsidRPr="007B0B53">
        <w:rPr>
          <w:bCs/>
        </w:rPr>
        <w:t>interrompido</w:t>
      </w:r>
      <w:r w:rsidRPr="007B0B53">
        <w:t> duas vezes por </w:t>
      </w:r>
      <w:r w:rsidRPr="007B0B53">
        <w:rPr>
          <w:bCs/>
        </w:rPr>
        <w:t>pedidos de vista</w:t>
      </w:r>
      <w:r w:rsidRPr="007B0B53">
        <w:t xml:space="preserve"> e ainda não foi concluído. O julgamento que voltou à pauta nesta sexta é diferente, pois se refere ao mérito da ação. Voto do relator - </w:t>
      </w:r>
      <w:proofErr w:type="spellStart"/>
      <w:r w:rsidRPr="007B0B53">
        <w:t>Fux</w:t>
      </w:r>
      <w:proofErr w:type="spellEnd"/>
      <w:r w:rsidRPr="007B0B53">
        <w:t xml:space="preserve"> votou a favor de declarar a inconstitucionalidade das duas regras contestadas. Até o momento, ele foi acompanhado por Flávio Dino, Gilmar Mendes, Alexandre de Moraes, Dias </w:t>
      </w:r>
      <w:proofErr w:type="spellStart"/>
      <w:r w:rsidRPr="007B0B53">
        <w:t>Toffoli</w:t>
      </w:r>
      <w:proofErr w:type="spellEnd"/>
      <w:r w:rsidRPr="007B0B53">
        <w:t xml:space="preserve"> e Cristiano Zanin. Na visão do relator, as restrições impostas pela lei impedem que os estados ofereçam a concessão dos serviços a um número maior de empresas interessadas, mediante o devido procedimento de licitação. O ministro considerou que não há justificativa razoável para proibir a concessão de serviços lotéricos a um grupo econômico em mais de um estado. </w:t>
      </w:r>
      <w:proofErr w:type="spellStart"/>
      <w:r w:rsidRPr="007B0B53">
        <w:t>Fux</w:t>
      </w:r>
      <w:proofErr w:type="spellEnd"/>
      <w:r w:rsidRPr="007B0B53">
        <w:t xml:space="preserve"> destacou que isso não está previsto no artigo 175 da </w:t>
      </w:r>
      <w:r w:rsidRPr="007B0B53">
        <w:rPr>
          <w:bCs/>
        </w:rPr>
        <w:t>Constituição</w:t>
      </w:r>
      <w:r w:rsidRPr="007B0B53">
        <w:t xml:space="preserve">, que trata de concessões ou permissões para prestação de serviços públicos. Ele concordou que as empresas com condições técnicas de prestar serviços mais eficientes teriam de competir pela concessão em estados mais populosos e mais lucrativos. Isso prejudicaria os estados menores, que perderiam potencial arrecadação e seriam obrigados a assinar contratos com empresas “tendencialmente menos qualificadas”. O impacto seria sentido pelos consumidores: sem as empresas “mais capacitadas economicamente”, esses estados tendem a se submeter a maiores custos de tarifa, por exemplo. Ou seja, a norma não garante a proteção do consumidor. Para o magistrado, a proibição de exploração dos serviços lotéricos em mais de um estado enfraquece o potencial de arrecadação dos entes da federação em benefício da União, já que o funcionamento pleno de loterias estaduais poderia reduzir a arrecadação da Loteria Federal. </w:t>
      </w:r>
      <w:proofErr w:type="spellStart"/>
      <w:r w:rsidRPr="007B0B53">
        <w:t>Fux</w:t>
      </w:r>
      <w:proofErr w:type="spellEnd"/>
      <w:r w:rsidRPr="007B0B53">
        <w:t xml:space="preserve"> ainda considerou que não há justificativa válida para impedir os estados de adotar “estratégias publicitárias que melhor lhes façam sentido, de acordo com seu planejamento de negócios”. Afinal, a lei já proíbe que um estado ofereça serviços lotéricos a pessoas localizadas no território de outro. O ministro destacou ainda que pode fazer sentido para um estado promover ações de marketing em eventos ocorridos em outros, </w:t>
      </w:r>
      <w:r w:rsidRPr="007B0B53">
        <w:lastRenderedPageBreak/>
        <w:t xml:space="preserve">desde que a transmissão alcance o público localizado em seu território. É o caso, por exemplo, de ações de marketing em eventos esportivos ou mesmo do sistema de patrocínio a atletas e torneios, amplamente difundido na mídia. “Não parece razoável, por exemplo, que o serviço lotérico de um determinado estado não possa patrocinar um atleta ou uma equipe profissional de futebol que vá competir em outra unidade da federação ou mesmo fora do país”, exemplificou. “Não parece razoável, outrossim, que uma loteria estadual não possa, por exemplo, realizar uma ação de marketing em um jogo da seleção brasileira de futebol no exterior, apenas porque o evento ocorre fisicamente fora dos limites territoriais do estado concedente.” Embora tenham acompanhado o relator, os demais ministros fizeram pequenas ressalvas para ressaltar que o Legislativo ainda pode limitar a competência dos estados para organização da prestação dos seus respectivos serviços públicos, de forma a proteger a ordem econômica e propiciar um ambiente de concorrência saudável. </w:t>
      </w:r>
    </w:p>
    <w:p w:rsidR="009775B2" w:rsidRPr="007B0B53" w:rsidRDefault="00094415" w:rsidP="009775B2">
      <w:pPr>
        <w:pStyle w:val="NormalWeb"/>
        <w:shd w:val="clear" w:color="auto" w:fill="FFFFFF"/>
        <w:spacing w:before="240" w:beforeAutospacing="0" w:after="0" w:afterAutospacing="0"/>
        <w:jc w:val="both"/>
        <w:textAlignment w:val="baseline"/>
      </w:pPr>
      <w:r w:rsidRPr="007B0B53">
        <w:t xml:space="preserve">STF </w:t>
      </w:r>
      <w:r w:rsidR="009775B2" w:rsidRPr="007B0B53">
        <w:t xml:space="preserve">(ADI 7866, in Notícias STF 03.09.2025) Distribuidores de energia questionam no STF indenização automática por falta de luz no RS - </w:t>
      </w:r>
      <w:r w:rsidR="009775B2" w:rsidRPr="007B0B53">
        <w:rPr>
          <w:spacing w:val="-5"/>
        </w:rPr>
        <w:t>Lei estadual estabelece percentuais proporcionais ao tempo de interrupção -</w:t>
      </w:r>
      <w:r w:rsidR="009775B2" w:rsidRPr="007B0B53">
        <w:t xml:space="preserve"> A Associação Brasileira de Distribuidores de Energia Elétrica (</w:t>
      </w:r>
      <w:proofErr w:type="spellStart"/>
      <w:r w:rsidR="009775B2" w:rsidRPr="007B0B53">
        <w:t>Abradee</w:t>
      </w:r>
      <w:proofErr w:type="spellEnd"/>
      <w:r w:rsidR="009775B2" w:rsidRPr="007B0B53">
        <w:t>) entrou com ação no Supremo Tribunal Federal (STF) para questionar uma lei do Rio Grande do Sul que criou mecanismo de indenização automática para consumidores afetados por interrupção no fornecimento de energia elétrica. A Ação Direta de Inconstitucionalidade </w:t>
      </w:r>
      <w:r w:rsidR="009775B2" w:rsidRPr="007B0B53">
        <w:rPr>
          <w:rStyle w:val="Forte"/>
          <w:b w:val="0"/>
        </w:rPr>
        <w:t>(ADI) 7866</w:t>
      </w:r>
      <w:r w:rsidR="009775B2" w:rsidRPr="007B0B53">
        <w:t xml:space="preserve"> foi distribuída ao ministro Alexandre de Moraes. De acordo com a Lei estadual 16.329/2025, a distribuidora deverá pagar a indenização na primeira fatura após a interrupção do fornecimento, sem a necessidade de solicitação do consumidor. O valor será proporcional ao tempo de interrupção. Se ela durar menos de 24 horas, não haverá indenização. Se for de 24 a 48 horas, ela será de 10% do valor da fatura do período afetado. Para interrupções de 48 a 72 horas, o percentual é de 30%, e em cortes com mais de 72 horas, a indenização é de 50%. A medida se aplica a qualquer ocorrência que resulte em falta de energia: falha técnica, manutenção programada ou emergencial e desastres naturais. A </w:t>
      </w:r>
      <w:proofErr w:type="spellStart"/>
      <w:r w:rsidR="009775B2" w:rsidRPr="007B0B53">
        <w:t>Abradee</w:t>
      </w:r>
      <w:proofErr w:type="spellEnd"/>
      <w:r w:rsidR="009775B2" w:rsidRPr="007B0B53">
        <w:t xml:space="preserve"> argumenta que, “para piorar”, a indenização não exclui outras formas de compensação ou indenização a que o consumidor possa ter direito, nos termos da legislação vigente. A entidade pede que o STF declare a lei inconstitucional por invadir a competência privativa da União para legislar sobre serviços de energia elétrica.</w:t>
      </w:r>
    </w:p>
    <w:p w:rsidR="00905BE4" w:rsidRPr="007B0B53" w:rsidRDefault="009775B2" w:rsidP="00905BE4">
      <w:pPr>
        <w:pStyle w:val="NormalWeb"/>
        <w:shd w:val="clear" w:color="auto" w:fill="FFFFFF"/>
        <w:spacing w:before="240" w:beforeAutospacing="0" w:after="0" w:afterAutospacing="0"/>
        <w:jc w:val="both"/>
        <w:textAlignment w:val="baseline"/>
      </w:pPr>
      <w:r w:rsidRPr="007B0B53">
        <w:t xml:space="preserve">STF </w:t>
      </w:r>
      <w:r w:rsidR="00905BE4" w:rsidRPr="007B0B53">
        <w:t xml:space="preserve">(ADPF 1247, in Notícias STF 01.09.2025) STF suspende ingresso de novos alunos em instituições de ensino superior municipais - </w:t>
      </w:r>
      <w:r w:rsidR="00905BE4" w:rsidRPr="007B0B53">
        <w:rPr>
          <w:spacing w:val="-5"/>
        </w:rPr>
        <w:t>Para ministro Flávio Dino, há possibilidade de desrespeito aos princípios que regem a educação nacional, especialmente da gratuidade do ensino.</w:t>
      </w:r>
      <w:r w:rsidR="00905BE4" w:rsidRPr="007B0B53">
        <w:t xml:space="preserve"> O ministro Flávio Dino, do Supremo Tribunal Federal (STF), suspendeu o ingresso de novos alunos nas Instituições de Educação Superior Municipais (IMES) que atuam de forma onerosa (cobrando mensalidades) e fora dos limites territoriais dos municípios-sede. A medida foi tomada nos autos da Arguição de Descumprimento de Preceito Fundamental </w:t>
      </w:r>
      <w:r w:rsidR="00905BE4" w:rsidRPr="007B0B53">
        <w:rPr>
          <w:rStyle w:val="Forte"/>
          <w:rFonts w:eastAsiaTheme="majorEastAsia"/>
          <w:b w:val="0"/>
        </w:rPr>
        <w:t>(ADPF) 1247</w:t>
      </w:r>
      <w:r w:rsidR="00905BE4" w:rsidRPr="007B0B53">
        <w:t xml:space="preserve">. Dino determinou também a notificação do Ministério da Educação, dos Conselhos de Educação dos estados de São Paulo e Goiás e dos municípios de Taubaté (SP), Mineiros e Rio Verde (GO), para que prestem informações sobre a atuação dessas instituições no prazo de dez dias. A Associação dos Mantenedores Independentes Educadores do Ensino Superior (AMIES), autora da ação, pediu a impugnação da criação, autorização e reconhecimento das IMES alegando violação ao princípio da gratuidade do ensino público e transgressão das normas gerais e regulamentares editadas pela União. </w:t>
      </w:r>
      <w:r w:rsidR="00905BE4" w:rsidRPr="007B0B53">
        <w:rPr>
          <w:rStyle w:val="Forte"/>
          <w:b w:val="0"/>
          <w:bCs w:val="0"/>
        </w:rPr>
        <w:t>Ensino público gratuito -</w:t>
      </w:r>
      <w:r w:rsidR="00905BE4" w:rsidRPr="007B0B53">
        <w:t xml:space="preserve"> O ministro destacou que o ensino público brasileiro se organiza conforme o princípio da gratuidade em todos os níveis, conforme prevê o artigo 206 da Constituição Federal. No entanto, ressalvou que a Constituição e a jurisprudência da Corte reconhecem três exceções que permitem a cobrança por parte das instituições públicas: cursos de pós-graduação, escolas militares e instituições de ensino superior existentes na data da promulgação da Constituição Federal de 1988. </w:t>
      </w:r>
      <w:r w:rsidR="00905BE4" w:rsidRPr="007B0B53">
        <w:rPr>
          <w:rStyle w:val="Forte"/>
          <w:b w:val="0"/>
          <w:bCs w:val="0"/>
        </w:rPr>
        <w:t>Faculdades municipais -</w:t>
      </w:r>
      <w:r w:rsidR="00905BE4" w:rsidRPr="007B0B53">
        <w:t xml:space="preserve"> Na decisão, o ministro apresentou dados sobre o número de instituições de educação superior municipais no Brasil, com base em dados do Ministério da Educação e em pesquisa publicada pela Revista de Financiamento da Educação, em 2023. Foram identificadas 70 instituições, distribuídas por 58 municípios. O estudo classificou as instituições de ensino de acordo com a data da criação. O mapeamento constatou que 68% das IMES foram criadas antes de 1988, o que, a princípio, legitimaria a cobrança de mensalidades. Com relação às demais unidades de ensino (23), criadas a partir da década de 90, a cobrança de mensalidades estaria sendo feita em possível transgressão ao princípio da gratuidade do ensino público. Neste caso, segundo Dino, há a possibilidade de desrespeito aos princípios que regem a educação nacional, especialmente da gratuidade do ensino.</w:t>
      </w:r>
    </w:p>
    <w:p w:rsidR="006A25B4" w:rsidRPr="007B0B53" w:rsidRDefault="00905BE4" w:rsidP="006A25B4">
      <w:pPr>
        <w:pStyle w:val="NormalWeb"/>
        <w:shd w:val="clear" w:color="auto" w:fill="FFFFFF"/>
        <w:spacing w:before="240" w:beforeAutospacing="0" w:after="0" w:afterAutospacing="0"/>
        <w:jc w:val="both"/>
        <w:textAlignment w:val="baseline"/>
      </w:pPr>
      <w:r w:rsidRPr="007B0B53">
        <w:lastRenderedPageBreak/>
        <w:t xml:space="preserve">STF </w:t>
      </w:r>
      <w:r w:rsidR="006A25B4" w:rsidRPr="007B0B53">
        <w:t xml:space="preserve">(ADI 6085, in Notícias STF 29.08.2025) STF mantém lei sobre acesso de pessoas vulneráveis ao SUS até adequação pelo Congresso - </w:t>
      </w:r>
      <w:r w:rsidR="006A25B4" w:rsidRPr="007B0B53">
        <w:rPr>
          <w:spacing w:val="-5"/>
        </w:rPr>
        <w:t xml:space="preserve">Corte declarou inconstitucionalidade de trecho da norma, mas não anulou o dispositivo para garantir segurança jurídica – </w:t>
      </w:r>
      <w:r w:rsidR="006A25B4" w:rsidRPr="007B0B53">
        <w:t>O Supremo Tribunal Federal (STF) manteve temporariamente a vigência de dispositivo da lei que garante o acesso de pessoas em situação de vulnerabilidade social à assistência integral à saúde, sem necessidade de apresentação de comprovante de domicílio ou inscrição no Sistema Único de Saúde (SUS), até que o Congresso Nacional faça a adequação legislativa necessária na norma. Por maioria de votos, o Plenário declarou a inconstitucionalidade do artigo 2º da Lei 13.714/2018, por violar o processo legislativo bicameral previsto no artigo 65 da Constituição Federal. Entretanto, a norma não foi invalidada. O ministro Gilmar Mendes divergiu do relator, ministro Cristiano Zanin, e foi acompanhado pela maioria, ao entender que houve falha no processo legislativo.</w:t>
      </w:r>
      <w:r w:rsidR="006A25B4" w:rsidRPr="007B0B53">
        <w:rPr>
          <w:spacing w:val="-5"/>
        </w:rPr>
        <w:t xml:space="preserve"> </w:t>
      </w:r>
      <w:r w:rsidR="006A25B4" w:rsidRPr="007B0B53">
        <w:t>De acordo com o voto do ministro Gilmar, o prazo de 18 meses é suficiente para que o Congresso Nacional reaprecie o tema e promova a adequação legislativa. A decisão foi tomada na sessão virtual encerrada em 18/8, no julgamento da Ação Direta de Inconstitucionalidade </w:t>
      </w:r>
      <w:r w:rsidR="006A25B4" w:rsidRPr="007B0B53">
        <w:rPr>
          <w:rStyle w:val="Forte"/>
          <w:rFonts w:eastAsiaTheme="majorEastAsia"/>
          <w:b w:val="0"/>
        </w:rPr>
        <w:t>(ADI) 6085</w:t>
      </w:r>
      <w:r w:rsidR="006A25B4" w:rsidRPr="007B0B53">
        <w:t>, proposta pelo Partido Socialismo e Liberdade (</w:t>
      </w:r>
      <w:proofErr w:type="spellStart"/>
      <w:r w:rsidR="006A25B4" w:rsidRPr="007B0B53">
        <w:t>Psol</w:t>
      </w:r>
      <w:proofErr w:type="spellEnd"/>
      <w:r w:rsidR="006A25B4" w:rsidRPr="007B0B53">
        <w:t xml:space="preserve">). </w:t>
      </w:r>
      <w:r w:rsidR="006A25B4" w:rsidRPr="007B0B53">
        <w:rPr>
          <w:rStyle w:val="Forte"/>
          <w:b w:val="0"/>
          <w:bCs w:val="0"/>
        </w:rPr>
        <w:t xml:space="preserve">Segurança jurídica - </w:t>
      </w:r>
      <w:r w:rsidR="006A25B4" w:rsidRPr="007B0B53">
        <w:t xml:space="preserve">Prevaleceu o entendimento de que a emenda aprovada pelo Senado modificou substancialmente o projeto original ao inserir dispensa da apresentação de documentos por pessoas em situação de vulnerabilidade para ter acesso à assistência integral à saúde. Nesse caso, a revisão pela casa iniciadora (Câmara dos Deputados) seria indispensável para preservação da integridade do processo legislativo bicameral. No voto, o ministro Gilmar Mendes destacou que a lei está em vigência há quase sete anos, e a sua invalidação “causaria um verdadeiro caos jurídico, social e administrativo”. Ele ponderou que a retroatividade decorrente da nulidade traria consequências que não poderiam ser desfeitas. </w:t>
      </w:r>
      <w:r w:rsidR="006A25B4" w:rsidRPr="007B0B53">
        <w:rPr>
          <w:rStyle w:val="Forte"/>
          <w:b w:val="0"/>
          <w:bCs w:val="0"/>
        </w:rPr>
        <w:t>Voto do relator</w:t>
      </w:r>
      <w:r w:rsidR="006A25B4" w:rsidRPr="007B0B53">
        <w:rPr>
          <w:spacing w:val="-5"/>
        </w:rPr>
        <w:t xml:space="preserve"> - </w:t>
      </w:r>
      <w:r w:rsidR="006A25B4" w:rsidRPr="007B0B53">
        <w:t>Ficaram parcialmente vencidos o relator, ministro Cristiano Zanin, e o ministro Alexandre de Moraes. Segundo Zanin, o artigo 2° da lei não inovou as regras já estabelecidas pela Constituição. Nesse sentido, segundo ele, o Senado apenas aprimorou o projeto de lei com a finalidade de reassegurar direito já existente a uma camada da população em situação de vulnerabilidade social [Ver tb. Notícias STF 06.03.2019].</w:t>
      </w:r>
    </w:p>
    <w:p w:rsidR="00D07676" w:rsidRPr="007B0B53" w:rsidRDefault="00D07676" w:rsidP="00743D71">
      <w:pPr>
        <w:pStyle w:val="NormalWeb"/>
        <w:spacing w:before="240" w:beforeAutospacing="0" w:after="0" w:afterAutospacing="0"/>
        <w:jc w:val="both"/>
        <w:textAlignment w:val="baseline"/>
      </w:pPr>
      <w:r w:rsidRPr="007B0B53">
        <w:t xml:space="preserve">STF (RE 566471, in </w:t>
      </w:r>
      <w:proofErr w:type="spellStart"/>
      <w:r w:rsidRPr="007B0B53">
        <w:t>Conjur</w:t>
      </w:r>
      <w:proofErr w:type="spellEnd"/>
      <w:r w:rsidRPr="007B0B53">
        <w:t xml:space="preserve"> 29.08.2025) </w:t>
      </w:r>
      <w:proofErr w:type="spellStart"/>
      <w:r w:rsidRPr="007B0B53">
        <w:t>Judicialização</w:t>
      </w:r>
      <w:proofErr w:type="spellEnd"/>
      <w:r w:rsidRPr="007B0B53">
        <w:t xml:space="preserve"> da saúde - Tese sobre medicamentos vale para qualquer ação em curso, diz STF - O Plenário do Supremo Tribunal Federal formou maioria, nesta quinta-feira (28/8), para esclarecer que é possível aplicar a qualquer processo atualmente em curso os </w:t>
      </w:r>
      <w:r w:rsidRPr="007B0B53">
        <w:rPr>
          <w:bCs/>
        </w:rPr>
        <w:t>critérios</w:t>
      </w:r>
      <w:r w:rsidRPr="007B0B53">
        <w:t> definidos no último ano pela corte sobre os casos excepcionais em que o Poder Judiciário pode determinar o fornecimento de medicamentos não incorporados ao Sistema Único de Saúde (SUS). Assim, o STF confirma que os requisitos podem ser aplicados a casos antigos ainda em andamento. O fim do julgamento virtual sobre o tema está previsto para esta sexta-feira (29/8). A </w:t>
      </w:r>
      <w:r w:rsidRPr="007B0B53">
        <w:rPr>
          <w:bCs/>
        </w:rPr>
        <w:t>tese de repercussão geral</w:t>
      </w:r>
      <w:r w:rsidRPr="007B0B53">
        <w:t> (válida para casos semelhantes nas demais instâncias do Judiciário) estabelecida em setembro de 2024 traz requisitos como negativa administrativa, incapacidade financeira do paciente e medicamento eficaz, seguro, imprescindível e insubstituível. Também foram estipuladas regras a serem seguidas pelos juízes, que precisam, por exemplo, consultar órgãos técnicos.</w:t>
      </w:r>
      <w:r w:rsidR="00743D71" w:rsidRPr="007B0B53">
        <w:t xml:space="preserve"> </w:t>
      </w:r>
      <w:r w:rsidRPr="007B0B53">
        <w:t>O fornecimento de medicamentos é um dos assuntos mais complexos do Judiciário brasileiro, pois afeta dezenas de milhares de processos e </w:t>
      </w:r>
      <w:r w:rsidRPr="007B0B53">
        <w:rPr>
          <w:bCs/>
        </w:rPr>
        <w:t>tem forte impacto</w:t>
      </w:r>
      <w:r w:rsidRPr="007B0B53">
        <w:t> nas contas públicas.</w:t>
      </w:r>
      <w:r w:rsidR="00743D71" w:rsidRPr="007B0B53">
        <w:t xml:space="preserve"> </w:t>
      </w:r>
      <w:r w:rsidRPr="007B0B53">
        <w:t>Contexto</w:t>
      </w:r>
      <w:r w:rsidR="00743D71" w:rsidRPr="007B0B53">
        <w:t xml:space="preserve"> - </w:t>
      </w:r>
      <w:r w:rsidRPr="007B0B53">
        <w:t>O STF buscava decidir se e em quais condições o Judiciário deve conceder tais medicamentos aos cidadãos. De início, os debates envolviam apenas medicamentos de alto custo (muitas vezes as unidades têm preços na casa dos milhares ou até milhões de reais, nos casos de doenças raras), mas evoluíram e passaram a abranger quaisquer remédios não incorporados ao SUS.</w:t>
      </w:r>
      <w:r w:rsidR="00743D71" w:rsidRPr="007B0B53">
        <w:t xml:space="preserve"> </w:t>
      </w:r>
      <w:r w:rsidRPr="007B0B53">
        <w:t>Segundo a tese aprovada pela maioria dos ministros, se um medicamento não está nas listas do SUS, não pode ser fornecido por decisão judicial. Mas isso pode acontecer em situações excepcionais, desde que o remédio esteja registrado na Anvisa e que sejam preenchidos alguns requisitos.</w:t>
      </w:r>
      <w:r w:rsidR="00743D71" w:rsidRPr="007B0B53">
        <w:t xml:space="preserve"> </w:t>
      </w:r>
      <w:r w:rsidRPr="007B0B53">
        <w:t>O autor da ação deve comprovar que o fornecimento foi negado pelo Estado na via administrativa. Também deve comprovar que não houve pedido para incorporação do medicamento ao SUS; que houve pedido, mas a Comissão Nacional de Incorporação de Tecnologias no SUS (</w:t>
      </w:r>
      <w:proofErr w:type="spellStart"/>
      <w:r w:rsidRPr="007B0B53">
        <w:t>Conitec</w:t>
      </w:r>
      <w:proofErr w:type="spellEnd"/>
      <w:r w:rsidRPr="007B0B53">
        <w:t xml:space="preserve">) está demorando para analisá-lo; ou que a </w:t>
      </w:r>
      <w:proofErr w:type="spellStart"/>
      <w:r w:rsidRPr="007B0B53">
        <w:t>Conitec</w:t>
      </w:r>
      <w:proofErr w:type="spellEnd"/>
      <w:r w:rsidRPr="007B0B53">
        <w:t xml:space="preserve"> negou a incorporação de forma ilegal.</w:t>
      </w:r>
      <w:r w:rsidR="00743D71" w:rsidRPr="007B0B53">
        <w:t xml:space="preserve"> </w:t>
      </w:r>
      <w:r w:rsidRPr="007B0B53">
        <w:t>O medicamento pleiteado precisa ser imprescindível e insubstituível por outros que estejam nas listas do SUS. O autor ainda deve comprovar a eficácia e a segurança do remédio (por meio de estudos de alto nível), além da sua incapacidade de arcar com os custos.</w:t>
      </w:r>
      <w:r w:rsidR="00743D71" w:rsidRPr="007B0B53">
        <w:t xml:space="preserve"> </w:t>
      </w:r>
      <w:r w:rsidRPr="007B0B53">
        <w:t>Os juízes também devem consultar o Núcleo de Apoio Técnico do Poder Judiciário (</w:t>
      </w:r>
      <w:proofErr w:type="spellStart"/>
      <w:r w:rsidRPr="007B0B53">
        <w:t>NatJus</w:t>
      </w:r>
      <w:proofErr w:type="spellEnd"/>
      <w:r w:rsidRPr="007B0B53">
        <w:t>) sempre que disponível, ou outros entes e pessoas especializados na área da saúde. Eles não poderão tomar decisões com base apenas em prescrições, relatórios ou laudos médicos apresentados pelo autor.</w:t>
      </w:r>
      <w:r w:rsidR="00743D71" w:rsidRPr="007B0B53">
        <w:t xml:space="preserve"> </w:t>
      </w:r>
      <w:r w:rsidRPr="007B0B53">
        <w:t xml:space="preserve">Caso o </w:t>
      </w:r>
      <w:r w:rsidRPr="007B0B53">
        <w:lastRenderedPageBreak/>
        <w:t>magistrado autorize o fornecimento do remédio, deverá mandar ofícios aos órgãos competentes para que eles avaliem a possibilidade de incorporação do medicamento ao SUS.</w:t>
      </w:r>
      <w:r w:rsidR="00743D71" w:rsidRPr="007B0B53">
        <w:t xml:space="preserve"> </w:t>
      </w:r>
      <w:r w:rsidRPr="007B0B53">
        <w:t>Embargos</w:t>
      </w:r>
      <w:r w:rsidR="00743D71" w:rsidRPr="007B0B53">
        <w:t xml:space="preserve"> - </w:t>
      </w:r>
      <w:r w:rsidRPr="007B0B53">
        <w:t>A decisão foi contestada, por meio de embargos de declaração, por três </w:t>
      </w:r>
      <w:proofErr w:type="spellStart"/>
      <w:r w:rsidRPr="007B0B53">
        <w:rPr>
          <w:rStyle w:val="nfase"/>
        </w:rPr>
        <w:t>amici</w:t>
      </w:r>
      <w:proofErr w:type="spellEnd"/>
      <w:r w:rsidRPr="007B0B53">
        <w:rPr>
          <w:rStyle w:val="nfase"/>
        </w:rPr>
        <w:t xml:space="preserve"> </w:t>
      </w:r>
      <w:proofErr w:type="spellStart"/>
      <w:r w:rsidRPr="007B0B53">
        <w:rPr>
          <w:rStyle w:val="nfase"/>
        </w:rPr>
        <w:t>curiae</w:t>
      </w:r>
      <w:proofErr w:type="spellEnd"/>
      <w:r w:rsidRPr="007B0B53">
        <w:t xml:space="preserve"> (amigos da corte, que têm a função de trazer informações relevantes para o processo): a Defensoria Pública da União, a Defensoria Pública do Rio de Janeiro e a Associação Brasileira de Assistência à </w:t>
      </w:r>
      <w:proofErr w:type="spellStart"/>
      <w:r w:rsidRPr="007B0B53">
        <w:t>Mucoviscidose</w:t>
      </w:r>
      <w:proofErr w:type="spellEnd"/>
      <w:r w:rsidRPr="007B0B53">
        <w:t xml:space="preserve"> (Abram).</w:t>
      </w:r>
      <w:r w:rsidR="00743D71" w:rsidRPr="007B0B53">
        <w:t xml:space="preserve"> </w:t>
      </w:r>
      <w:r w:rsidRPr="007B0B53">
        <w:t>Todas elas pediram que a tese fosse aplicada apenas às ações movidas depois da publicação da decisão do último ano e não valesse para pacientes que acionaram a Justiça antes da tese estabelecida pelo STF.</w:t>
      </w:r>
      <w:r w:rsidR="00743D71" w:rsidRPr="007B0B53">
        <w:t xml:space="preserve"> </w:t>
      </w:r>
      <w:r w:rsidRPr="007B0B53">
        <w:t xml:space="preserve">Outros pontos questionados foram os critérios relacionados à </w:t>
      </w:r>
      <w:proofErr w:type="spellStart"/>
      <w:r w:rsidRPr="007B0B53">
        <w:t>Conitec</w:t>
      </w:r>
      <w:proofErr w:type="spellEnd"/>
      <w:r w:rsidRPr="007B0B53">
        <w:t>. A DPU apontou que pode surgir alguma nova pesquisa depois de uma decisão desfavorável e solicitou que a indicação do link para consulta pública no portal eletrônico da comissão seja suficiente para comprovar a falta de pedido de incorporação ou a demora na análise.</w:t>
      </w:r>
      <w:r w:rsidR="00743D71" w:rsidRPr="007B0B53">
        <w:t xml:space="preserve"> </w:t>
      </w:r>
      <w:r w:rsidRPr="007B0B53">
        <w:t>A Defensoria do Rio foi além e alegou que </w:t>
      </w:r>
      <w:r w:rsidRPr="007B0B53">
        <w:rPr>
          <w:bCs/>
        </w:rPr>
        <w:t xml:space="preserve">exigir do autor a comprovação de irregularidade ou ilegalidade na decisão da </w:t>
      </w:r>
      <w:proofErr w:type="spellStart"/>
      <w:r w:rsidRPr="007B0B53">
        <w:rPr>
          <w:bCs/>
        </w:rPr>
        <w:t>Conitec</w:t>
      </w:r>
      <w:proofErr w:type="spellEnd"/>
      <w:r w:rsidRPr="007B0B53">
        <w:rPr>
          <w:bCs/>
        </w:rPr>
        <w:t xml:space="preserve"> representa um retrocesso</w:t>
      </w:r>
      <w:r w:rsidRPr="007B0B53">
        <w:t> na proteção dos direitos dos usuários do SUS. Também ressaltou que usuários de planos de saúde e seguros privados têm acesso a tratamentos sem recomendação de incorporação da comissão.</w:t>
      </w:r>
      <w:r w:rsidR="00743D71" w:rsidRPr="007B0B53">
        <w:t xml:space="preserve"> </w:t>
      </w:r>
      <w:r w:rsidRPr="007B0B53">
        <w:t xml:space="preserve">Já a Abram afirmou que, no caso de doenças raras, a decisão da </w:t>
      </w:r>
      <w:proofErr w:type="spellStart"/>
      <w:r w:rsidRPr="007B0B53">
        <w:t>Conitec</w:t>
      </w:r>
      <w:proofErr w:type="spellEnd"/>
      <w:r w:rsidRPr="007B0B53">
        <w:t xml:space="preserve"> contra a incorporação do medicamento muitas vezes é baseada em critérios exclusivamente econômicos, o que “cria um ponto cego de controle de manobras autoritárias em prejuízo de um grupo vulnerável”.</w:t>
      </w:r>
      <w:r w:rsidR="00743D71" w:rsidRPr="007B0B53">
        <w:t xml:space="preserve"> </w:t>
      </w:r>
      <w:r w:rsidRPr="007B0B53">
        <w:t>Os três </w:t>
      </w:r>
      <w:proofErr w:type="spellStart"/>
      <w:r w:rsidRPr="007B0B53">
        <w:rPr>
          <w:rStyle w:val="nfase"/>
        </w:rPr>
        <w:t>amici</w:t>
      </w:r>
      <w:proofErr w:type="spellEnd"/>
      <w:r w:rsidRPr="007B0B53">
        <w:rPr>
          <w:rStyle w:val="nfase"/>
        </w:rPr>
        <w:t xml:space="preserve"> </w:t>
      </w:r>
      <w:proofErr w:type="spellStart"/>
      <w:r w:rsidRPr="007B0B53">
        <w:rPr>
          <w:rStyle w:val="nfase"/>
        </w:rPr>
        <w:t>curiae</w:t>
      </w:r>
      <w:proofErr w:type="spellEnd"/>
      <w:r w:rsidRPr="007B0B53">
        <w:t> ainda contestaram a exigência de demonstrações científicas de alto nível. Isso porque medicamentos voltados a algumas doenças, como as raras, não passam por um “crivo tão restrito”, nas palavras da DPU. O órgão sugeriu a possibilidade de se justificar a inexistência de evidências científicas de alto nível para determinados remédios.</w:t>
      </w:r>
      <w:r w:rsidR="00743D71" w:rsidRPr="007B0B53">
        <w:t xml:space="preserve"> </w:t>
      </w:r>
      <w:r w:rsidRPr="007B0B53">
        <w:t>Voto do relator</w:t>
      </w:r>
      <w:r w:rsidR="00743D71" w:rsidRPr="007B0B53">
        <w:t xml:space="preserve"> - </w:t>
      </w:r>
      <w:r w:rsidRPr="007B0B53">
        <w:t>O ministro Luís Roberto Barroso, relator do caso, explicou que </w:t>
      </w:r>
      <w:proofErr w:type="spellStart"/>
      <w:r w:rsidRPr="007B0B53">
        <w:rPr>
          <w:rStyle w:val="nfase"/>
        </w:rPr>
        <w:t>amici</w:t>
      </w:r>
      <w:proofErr w:type="spellEnd"/>
      <w:r w:rsidRPr="007B0B53">
        <w:rPr>
          <w:rStyle w:val="nfase"/>
        </w:rPr>
        <w:t xml:space="preserve"> </w:t>
      </w:r>
      <w:proofErr w:type="spellStart"/>
      <w:r w:rsidRPr="007B0B53">
        <w:rPr>
          <w:rStyle w:val="nfase"/>
        </w:rPr>
        <w:t>curiae</w:t>
      </w:r>
      <w:proofErr w:type="spellEnd"/>
      <w:r w:rsidRPr="007B0B53">
        <w:rPr>
          <w:rStyle w:val="nfase"/>
        </w:rPr>
        <w:t> </w:t>
      </w:r>
      <w:r w:rsidRPr="007B0B53">
        <w:t>não têm legitimidade para apresentar embargos em casos de repercussão geral. Por isso, rejeitou os pedidos. Mas, devido à importância do tema, esclareceu algumas coisas, como a possibilidade de aplicação da tese a qualquer processo que esteja em curso.</w:t>
      </w:r>
      <w:r w:rsidR="00743D71" w:rsidRPr="007B0B53">
        <w:t xml:space="preserve"> </w:t>
      </w:r>
      <w:r w:rsidRPr="007B0B53">
        <w:t xml:space="preserve">Até o momento, ele foi acompanhado por Cristiano Zanin, Alexandre de Moraes, Flávio Dino, Dias </w:t>
      </w:r>
      <w:proofErr w:type="spellStart"/>
      <w:r w:rsidRPr="007B0B53">
        <w:t>Toffoli</w:t>
      </w:r>
      <w:proofErr w:type="spellEnd"/>
      <w:r w:rsidRPr="007B0B53">
        <w:t xml:space="preserve"> e André Mendonça.</w:t>
      </w:r>
      <w:r w:rsidR="00743D71" w:rsidRPr="007B0B53">
        <w:t xml:space="preserve"> </w:t>
      </w:r>
      <w:r w:rsidRPr="007B0B53">
        <w:t>Barroso lembrou que, em </w:t>
      </w:r>
      <w:r w:rsidRPr="007B0B53">
        <w:rPr>
          <w:bCs/>
        </w:rPr>
        <w:t>outro caso relacionado</w:t>
      </w:r>
      <w:r w:rsidRPr="007B0B53">
        <w:t> </w:t>
      </w:r>
      <w:r w:rsidR="001B5273" w:rsidRPr="007B0B53">
        <w:t xml:space="preserve">[RE 1366243] </w:t>
      </w:r>
      <w:r w:rsidRPr="007B0B53">
        <w:t>— no qual o STF definiu a responsabilidade dos entes federativos em ações judiciais sobre fornecimento de medicamentos e a competência para resolver tais demandas —, ficou decidido (em julgamento de embargos) que as regras se aplicariam a processos em qualquer fase ou grau de jurisdição.</w:t>
      </w:r>
      <w:r w:rsidR="00743D71" w:rsidRPr="007B0B53">
        <w:t xml:space="preserve"> </w:t>
      </w:r>
      <w:r w:rsidRPr="007B0B53">
        <w:t>O relator considerou que o mesmo raciocínio deve se aplicar aos critérios para fornecimento: a tese deve ser aplicada a todos os processos em trâmite. Por outro lado, as partes devem ter a oportunidade de se manifestar sobre “a adequação ou não do seu caso aos critérios estabelecidos”.</w:t>
      </w:r>
      <w:r w:rsidR="00743D71" w:rsidRPr="007B0B53">
        <w:t xml:space="preserve"> </w:t>
      </w:r>
      <w:r w:rsidRPr="007B0B53">
        <w:t xml:space="preserve">Com relação à </w:t>
      </w:r>
      <w:proofErr w:type="spellStart"/>
      <w:r w:rsidRPr="007B0B53">
        <w:t>Conitec</w:t>
      </w:r>
      <w:proofErr w:type="spellEnd"/>
      <w:r w:rsidRPr="007B0B53">
        <w:t>, o magistrado ressaltou a necessidade de se respeitar decisões de “órgãos com expertise técnica para decidir sobre o tema”. Ele ainda lembrou que os relatórios da comissão são submetidos, em regra, à consulta pública.</w:t>
      </w:r>
      <w:r w:rsidR="00743D71" w:rsidRPr="007B0B53">
        <w:t xml:space="preserve"> </w:t>
      </w:r>
      <w:r w:rsidRPr="007B0B53">
        <w:t xml:space="preserve">Sobre a comprovação da falta de pedido de incorporação do medicamento ou da demora na sua análise, Barroso explicou que o autor pode usar “qualquer meio de prova legalmente admitido”, o que inclui a indicação de link para consulta pública no site da </w:t>
      </w:r>
      <w:proofErr w:type="spellStart"/>
      <w:r w:rsidRPr="007B0B53">
        <w:t>Conitec</w:t>
      </w:r>
      <w:proofErr w:type="spellEnd"/>
      <w:r w:rsidRPr="007B0B53">
        <w:t xml:space="preserve"> com as devidas informações.</w:t>
      </w:r>
      <w:r w:rsidR="00743D71" w:rsidRPr="007B0B53">
        <w:t xml:space="preserve"> </w:t>
      </w:r>
      <w:r w:rsidRPr="007B0B53">
        <w:t xml:space="preserve">Por fim, o relator manteve a exigência de comprovação da eficácia e segurança dos remédios “à luz da medicina baseada em evidências, necessariamente respaldadas por demonstrações científicas de alto nível (ensaios clínicos randomizados e revisão sistemática ou </w:t>
      </w:r>
      <w:proofErr w:type="spellStart"/>
      <w:r w:rsidRPr="007B0B53">
        <w:t>metaanálise</w:t>
      </w:r>
      <w:proofErr w:type="spellEnd"/>
      <w:r w:rsidRPr="007B0B53">
        <w:t>)”. Segundo ele, esses são os estudos mais adequados no “nível hierárquico de evidências científicas”.</w:t>
      </w:r>
    </w:p>
    <w:p w:rsidR="00FA1676" w:rsidRPr="007B0B53" w:rsidRDefault="003319CB" w:rsidP="00FA1676">
      <w:pPr>
        <w:pStyle w:val="NormalWeb"/>
        <w:shd w:val="clear" w:color="auto" w:fill="FFFFFF"/>
        <w:spacing w:before="240" w:beforeAutospacing="0" w:after="0" w:afterAutospacing="0"/>
        <w:jc w:val="both"/>
        <w:textAlignment w:val="baseline"/>
        <w:rPr>
          <w:spacing w:val="-5"/>
        </w:rPr>
      </w:pPr>
      <w:r w:rsidRPr="007B0B53">
        <w:t>STF</w:t>
      </w:r>
      <w:r w:rsidR="00F350D5" w:rsidRPr="007B0B53">
        <w:t xml:space="preserve"> </w:t>
      </w:r>
      <w:r w:rsidR="00FA1676" w:rsidRPr="007B0B53">
        <w:t xml:space="preserve">(RE 1366243, in Notícias STF 22.08.2025) STF determina medidas para garantir cumprimento de decisões sobre aquisição de medicamentos - </w:t>
      </w:r>
      <w:r w:rsidR="00FA1676" w:rsidRPr="007B0B53">
        <w:rPr>
          <w:spacing w:val="-5"/>
        </w:rPr>
        <w:t xml:space="preserve">Em decisão, ministro Gilmar Mendes relata órgãos da administração pública e do Judiciários têm descumprido teses fixadas pela Corte – </w:t>
      </w:r>
      <w:r w:rsidR="00FA1676" w:rsidRPr="007B0B53">
        <w:t>O ministro Gilmar Mendes, do Supremo Tribunal Federal (STF), determinou uma série de medidas para assegurar o cumprimento de duas decisões do Plenário nos julgamentos dos Temas 1.234 e 6 de repercussão geral, que tratam da aquisição de medicamentos pelo Sistema Único de Saúde (SUS).</w:t>
      </w:r>
      <w:r w:rsidR="00FA1676" w:rsidRPr="007B0B53">
        <w:rPr>
          <w:spacing w:val="-5"/>
        </w:rPr>
        <w:t xml:space="preserve"> </w:t>
      </w:r>
      <w:r w:rsidR="00FA1676" w:rsidRPr="007B0B53">
        <w:t>Segundo o ministro, chegaram ao STF relatos de reiterados descumprimentos das teses fixadas pela Corte, tanto por órgãos da administração pública quanto pelo Judiciário, o que tem levado ao aumento das reclamações apresentadas ao Supremo.</w:t>
      </w:r>
      <w:r w:rsidR="00FA1676" w:rsidRPr="007B0B53">
        <w:rPr>
          <w:spacing w:val="-5"/>
        </w:rPr>
        <w:t xml:space="preserve"> </w:t>
      </w:r>
      <w:r w:rsidR="00FA1676" w:rsidRPr="007B0B53">
        <w:t>“Não é incomum que, logo após a edição de qualquer súmula vinculante, ocorra aumento no número de reclamações, em razão da possibilidade de acionar diretamente o STF. Contudo, ao se analisar o teor das decisões questionadas, observa-se certa incompreensão ou mesmo desconhecimento quanto aos Temas 6 e 1.234, o que evidencia a necessidade de reforçar a formação continuada de magistrados sobre essa matéria”, afirmou.</w:t>
      </w:r>
      <w:r w:rsidR="00FA1676" w:rsidRPr="007B0B53">
        <w:rPr>
          <w:spacing w:val="-5"/>
        </w:rPr>
        <w:t xml:space="preserve"> </w:t>
      </w:r>
      <w:r w:rsidR="00FA1676" w:rsidRPr="007B0B53">
        <w:t>Na decisão, tomada no Recurso Extraordinário </w:t>
      </w:r>
      <w:r w:rsidR="00FA1676" w:rsidRPr="007B0B53">
        <w:rPr>
          <w:rStyle w:val="Forte"/>
          <w:rFonts w:eastAsiaTheme="majorEastAsia"/>
          <w:b w:val="0"/>
        </w:rPr>
        <w:t>(RE) 1366243</w:t>
      </w:r>
      <w:r w:rsidR="00FA1676" w:rsidRPr="007B0B53">
        <w:t xml:space="preserve">, o ministro determinou </w:t>
      </w:r>
      <w:r w:rsidR="00FA1676" w:rsidRPr="007B0B53">
        <w:lastRenderedPageBreak/>
        <w:t>ao corregedor nacional de Justiça que recomende a todos os magistrados federais e estaduais o cumprimento estrito das teses fixadas pelo Supremo, especialmente no ponto que proíbe o repasse de valores diretamente ao autor da ação para a aquisição privada de medicamentos.</w:t>
      </w:r>
      <w:r w:rsidR="00FA1676" w:rsidRPr="007B0B53">
        <w:rPr>
          <w:spacing w:val="-5"/>
        </w:rPr>
        <w:t xml:space="preserve"> </w:t>
      </w:r>
      <w:r w:rsidR="00FA1676" w:rsidRPr="007B0B53">
        <w:t>O decano do STF também ordenou à Câmara de Regulação do Mercado de Medicamentos (CMED) que, em até 60 dias, edite nova resolução – ou atualize a vigente – tornando obrigatória a observância da tabela de Preço Máximo de Venda ao Governo (PMVG).</w:t>
      </w:r>
      <w:r w:rsidR="00FA1676" w:rsidRPr="007B0B53">
        <w:rPr>
          <w:spacing w:val="-5"/>
        </w:rPr>
        <w:t xml:space="preserve"> </w:t>
      </w:r>
      <w:r w:rsidR="00FA1676" w:rsidRPr="007B0B53">
        <w:t>Essa tabela estabelece o valor máximo que os laboratórios podem cobrar do governo pela venda de medicamentos. Segundo informações enviadas ao STF, algumas empresas estariam descumprindo a norma. Por essa razão, Gilmar Mendes determinou ainda que a CMED assegure a fiscalização efetiva desses possíveis descumprimentos.</w:t>
      </w:r>
    </w:p>
    <w:p w:rsidR="009E7795" w:rsidRPr="007B0B53" w:rsidRDefault="00FA1676" w:rsidP="009E7795">
      <w:pPr>
        <w:pStyle w:val="NormalWeb"/>
        <w:shd w:val="clear" w:color="auto" w:fill="FFFFFF"/>
        <w:spacing w:before="240" w:beforeAutospacing="0" w:after="0" w:afterAutospacing="0"/>
        <w:jc w:val="both"/>
        <w:textAlignment w:val="baseline"/>
      </w:pPr>
      <w:r w:rsidRPr="007B0B53">
        <w:t xml:space="preserve">STF </w:t>
      </w:r>
      <w:r w:rsidR="005276F7" w:rsidRPr="007B0B53">
        <w:t>(</w:t>
      </w:r>
      <w:r w:rsidR="009E7795" w:rsidRPr="007B0B53">
        <w:t xml:space="preserve">RE 1551780, </w:t>
      </w:r>
      <w:r w:rsidR="005276F7" w:rsidRPr="007B0B53">
        <w:t>in Informativo STF</w:t>
      </w:r>
      <w:r w:rsidR="009E7795" w:rsidRPr="007B0B53">
        <w:t xml:space="preserve"> 1185</w:t>
      </w:r>
      <w:r w:rsidR="005276F7" w:rsidRPr="007B0B53">
        <w:t>)</w:t>
      </w:r>
      <w:r w:rsidR="009E7795" w:rsidRPr="007B0B53">
        <w:t xml:space="preserve"> DIREITO CONSTITUCIONAL – ADMINISTRAÇÃO PÚBLICA; CONTRATAÇÃO TEMPORÁRIA; PROGRAMA ASSISTENCIAL; PESSOAS EM SITUAÇÃO DE VULNERABILIDADE; DIREITOS E GARANTIAS FUNDAMENTAIS</w:t>
      </w:r>
      <w:bookmarkStart w:id="3" w:name="Programa"/>
      <w:r w:rsidR="009E7795" w:rsidRPr="007B0B53">
        <w:t xml:space="preserve"> - </w:t>
      </w:r>
      <w:r w:rsidR="009E7795" w:rsidRPr="007B0B53">
        <w:rPr>
          <w:bCs/>
          <w:iCs/>
        </w:rPr>
        <w:t>Programa de auxílio aos desempregados e contratação temporária no âmbito municipal</w:t>
      </w:r>
      <w:bookmarkEnd w:id="3"/>
      <w:r w:rsidR="009E7795" w:rsidRPr="007B0B53">
        <w:rPr>
          <w:bCs/>
          <w:iCs/>
        </w:rPr>
        <w:t xml:space="preserve"> </w:t>
      </w:r>
      <w:r w:rsidR="009E7795" w:rsidRPr="007B0B53">
        <w:rPr>
          <w:bCs/>
          <w:i/>
          <w:iCs/>
        </w:rPr>
        <w:t xml:space="preserve">- </w:t>
      </w:r>
      <w:r w:rsidR="009E7795" w:rsidRPr="007B0B53">
        <w:rPr>
          <w:bCs/>
        </w:rPr>
        <w:t>É constitucional — pois concretiza o princípio da dignidade da pessoa humana e não ofende o princípio do concurso público (CF/1988, </w:t>
      </w:r>
      <w:proofErr w:type="spellStart"/>
      <w:r w:rsidR="009E7795" w:rsidRPr="007B0B53">
        <w:rPr>
          <w:rStyle w:val="spelle"/>
          <w:bCs/>
        </w:rPr>
        <w:t>arts</w:t>
      </w:r>
      <w:proofErr w:type="spellEnd"/>
      <w:r w:rsidR="009E7795" w:rsidRPr="007B0B53">
        <w:rPr>
          <w:bCs/>
        </w:rPr>
        <w:t>. 1º, III, e 37, II) — lei municipal que autoriza o chefe do Poder Executivo a criar programa de auxílio ao desempregado, de caráter assistencial,</w:t>
      </w:r>
      <w:r w:rsidR="009E7795" w:rsidRPr="007B0B53">
        <w:t> </w:t>
      </w:r>
      <w:r w:rsidR="009E7795" w:rsidRPr="007B0B53">
        <w:rPr>
          <w:bCs/>
        </w:rPr>
        <w:t>com o objetivo de dar ocupação, renda e qualidade profissional aos desempregados residentes no município.</w:t>
      </w:r>
      <w:r w:rsidR="009E7795" w:rsidRPr="007B0B53">
        <w:rPr>
          <w:b/>
          <w:bCs/>
        </w:rPr>
        <w:t> </w:t>
      </w:r>
      <w:r w:rsidR="009E7795" w:rsidRPr="007B0B53">
        <w:t>Esta Corte já reconheceu a constitucionalidade de normas que instituem programas sociais com a finalidade de integrar pessoas em situação de vulnerabil</w:t>
      </w:r>
      <w:r w:rsidR="00BB33CD" w:rsidRPr="007B0B53">
        <w:t>idade ao mercado de trabalho</w:t>
      </w:r>
      <w:r w:rsidR="009E7795" w:rsidRPr="007B0B53">
        <w:t xml:space="preserve">. Na espécie, a pretensão da lei municipal impugnada é conferir dignidade a pessoas </w:t>
      </w:r>
      <w:r w:rsidR="00BB33CD" w:rsidRPr="007B0B53">
        <w:t>em estado de vulnerabilidade</w:t>
      </w:r>
      <w:r w:rsidR="009E7795" w:rsidRPr="007B0B53">
        <w:t>, inexistindo falta de razoabilidade no programa questionado, pois o caráter assistencial em favor de pessoas desempregadas prevalece em relação ao interesse da Administração Pública municipal em reorganizar os quadros de seus servidores públicos. Ademais, não há que se falar em aplicação do que foi decidido no julgamento do processo paradigma do Tema 612 da repercussão geral, em que se fixaram os parâmetros de validade da contratação temporária de servidores públicos, a fim de impedir que ela seja utilizada como subterfúgio para o poder público se evadir da obrigação de realizar concurso público. Com base nesse entendimento, o Plenário, por unanimidade, negou provimento ao recurso para manter o acórdão recorrido, o qual julgou improcedente a ação direta de inconstitucionalidade estadual movida contra a Lei nº 1.937/2023 do Município de Rubiácea/SP.</w:t>
      </w:r>
    </w:p>
    <w:p w:rsidR="006135D5" w:rsidRPr="007B0B53" w:rsidRDefault="005276F7" w:rsidP="006135D5">
      <w:pPr>
        <w:pStyle w:val="NormalWeb"/>
        <w:shd w:val="clear" w:color="auto" w:fill="FFFFFF"/>
        <w:spacing w:before="240" w:beforeAutospacing="0" w:after="0" w:afterAutospacing="0"/>
        <w:jc w:val="both"/>
        <w:textAlignment w:val="baseline"/>
      </w:pPr>
      <w:r w:rsidRPr="007B0B53">
        <w:t xml:space="preserve">STF </w:t>
      </w:r>
      <w:r w:rsidR="006135D5" w:rsidRPr="007B0B53">
        <w:t xml:space="preserve">(ADI 6085, in Migalhas 19.08.2025) Direito à saúde – STF – Maioria invalida lei que permite atendimentos no SUS sem documentos – Ministros seguiram divergência aberta pelo ministro Gilmar Mendes; Zanin e Moraes ficaram vencidos. STF formou maioria, no plenário virtual, para declarar a invalidade formal do art. 2º da lei 13.714/18, que prevê atendimento pelo SUS a famílias e indivíduos em situação de vulnerabilidade ou risco social mesmo sem apresentação de documentos. Prevaleceu o voto divergente do ministro Gilmar Mendes. Para S. Exa., a emenda feita pelo Senado ao projeto de lei não teve caráter meramente redacional, mas substancial, uma vez que instituiu "direito novo" ao explicitar que pessoas em vulnerabilidade poderiam ser atendidas pelo SUS independentemente de documentos. No entanto, como o dispositivo está em vigor há quase sete anos, propôs declarar a inconstitucionalidade formal sem pronúncia de nulidade, mantendo o art. 2º válido por 18 meses para que o Congresso Nacional reaprecie o tema. O entendimento do decano foi acompanhado pela maioria dos ministros, ficando vencidos apenas o relator, ministro Cristiano Zanin, e o ministro Alexandre de Moraes. (...) Entenda - A </w:t>
      </w:r>
      <w:proofErr w:type="spellStart"/>
      <w:r w:rsidR="006135D5" w:rsidRPr="007B0B53">
        <w:t>ADIn</w:t>
      </w:r>
      <w:proofErr w:type="spellEnd"/>
      <w:r w:rsidR="006135D5" w:rsidRPr="007B0B53">
        <w:t xml:space="preserve"> foi proposta pelo PSOL contra a lei 13.714/18 que alterou a lei orgânica da assistência social (lei 8.742/93). O partido sustentou que o art. 2º da lei foi incluído pelo Senado no projeto originário da Câmara, o que configuraria alteração substancial e violação ao devido processo legislativo bicameral previsto no art. 65, parágrafo único, da CF. Para o PSOL, a mudança exigiria o retorno do projeto à Casa iniciadora para nova apreciação. Voto do relator - Ministro Cristiano Zanin conheceu parcialmente da ação, apenas quanto ao art. 2º da lei 13.714/18, e, nessa parte, julgou improcedente o pedido. S. Exa. afastou a alegação de vício formal, entendendo que a emenda aprovada pelo Senado apresentava pertinência temática com o projeto original, que tratava da identidade visual do SUAS, e buscava ampliar a articulação entre a assistência social e a saúde. Para Zanin, a inclusão não representou inovação no ordenamento jurídico, mas apenas reafirmação do direito já previsto no art. 196 da CF: acesso universal e igualitário às ações e serviços de saúde. O relator destacou que a CF veda barreiras burocráticas ao atendimento no SUS, especialmente para a população vulnerável. Assim, o dispositivo impugnado apenas </w:t>
      </w:r>
      <w:r w:rsidR="006135D5" w:rsidRPr="007B0B53">
        <w:lastRenderedPageBreak/>
        <w:t xml:space="preserve">reforça obrigação já existente do Estado, sem alterar substancialmente a proposição legislativa a ponto de exigir nova votação pela Câmara dos Deputados. Também registrou que tanto o Senado quanto a AGU defenderam a constitucionalidade da lei, e que sua supressão poderia prejudicar pessoas em situação de vulnerabilidade social. S. Exa. foi acompanhado pelo ministro Alexandre de Moraes. (...) Divergência -Ministro Gilmar Mendes, que havia pedido vista, divergiu no mérito. Para o decano da Corte, a emenda do Senado não foi meramente redacional, e sim substancial, pois criou "direito novo" ao fixar expressamente que pessoas em vulnerabilidade podem ser atendidas no SUS sem apresentação de documentos. O projeto original aprovado pela Câmara não abordava o tema saúde, limitando-se à identidade visual do SUAS, e, no modelo bicameral brasileiro, alterações dessa magnitude exigem deliberação das duas Casas. Citando como precedente a </w:t>
      </w:r>
      <w:proofErr w:type="spellStart"/>
      <w:r w:rsidR="006135D5" w:rsidRPr="007B0B53">
        <w:t>ADIn</w:t>
      </w:r>
      <w:proofErr w:type="spellEnd"/>
      <w:r w:rsidR="006135D5" w:rsidRPr="007B0B53">
        <w:t xml:space="preserve"> 2.238, o ministro enfatizou que o retorno à Casa iniciadora não é necessário para ajustes formais, mas é imprescindível quando há alteração, supressão ou complementação de conteúdo normativo. Para S. Exa., o Senado, ao não devolver o projeto, violou o art. 65, parágrafo único, da CF e impediu a Câmara de exercer suas prerrogativas constitucionais. Gilmar reconheceu, contudo, que o dispositivo está em vigor há quase sete anos e que sua nulidade imediata poderia gerar insegurança jurídica e impactos negativos na prestação de serviços de saúde. Por isso, propôs declarar a inconstitucionalidade formal sem pronúncia de nulidade, mantendo o art. 2º válido por 18 meses para que o Congresso Nacional reaprecie o tema.</w:t>
      </w:r>
    </w:p>
    <w:p w:rsidR="00C81B27" w:rsidRPr="007B0B53" w:rsidRDefault="006135D5" w:rsidP="00C81B27">
      <w:pPr>
        <w:pStyle w:val="NormalWeb"/>
        <w:shd w:val="clear" w:color="auto" w:fill="FFFFFF"/>
        <w:spacing w:before="240" w:beforeAutospacing="0" w:after="0" w:afterAutospacing="0"/>
        <w:jc w:val="both"/>
        <w:textAlignment w:val="baseline"/>
        <w:rPr>
          <w:spacing w:val="-5"/>
        </w:rPr>
      </w:pPr>
      <w:r w:rsidRPr="007B0B53">
        <w:t xml:space="preserve">STF </w:t>
      </w:r>
      <w:r w:rsidR="00C81B27" w:rsidRPr="007B0B53">
        <w:t xml:space="preserve">(ADI 7324, in Notícias STF 14.08.2025) STF valida lei que autoriza Aneel a definir devolução de tributos pagos a mais - </w:t>
      </w:r>
      <w:r w:rsidR="00C81B27" w:rsidRPr="007B0B53">
        <w:rPr>
          <w:spacing w:val="-5"/>
        </w:rPr>
        <w:t xml:space="preserve">Nos casos em que a devolução ainda não ocorreu, o ressarcimento deve ser integral, descontados apenas honorários e tributos adicionais – </w:t>
      </w:r>
      <w:r w:rsidR="00C81B27" w:rsidRPr="007B0B53">
        <w:t>O Supremo Tribunal Federal (STF) decidiu, nesta quinta-feira (14), que é constitucional a lei que autoriza a Agência Nacional de Energia Elétrica (Aneel) a definir como as distribuidoras de energia devem ressarcir consumidores por valores pagos a mais e considerados indevidos pela Justiça.</w:t>
      </w:r>
      <w:r w:rsidR="00C81B27" w:rsidRPr="007B0B53">
        <w:rPr>
          <w:spacing w:val="-5"/>
        </w:rPr>
        <w:t xml:space="preserve"> </w:t>
      </w:r>
      <w:r w:rsidR="00C81B27" w:rsidRPr="007B0B53">
        <w:t>A decisão foi tomada na Ação Direta de Inconstitucionalidade </w:t>
      </w:r>
      <w:r w:rsidR="00C81B27" w:rsidRPr="007B0B53">
        <w:rPr>
          <w:rStyle w:val="Forte"/>
          <w:b w:val="0"/>
        </w:rPr>
        <w:t>(ADI) 7324</w:t>
      </w:r>
      <w:r w:rsidR="00C81B27" w:rsidRPr="007B0B53">
        <w:t xml:space="preserve">, que questionou a Lei 14.385/2022. O Plenário entendeu que a norma instituiu uma política tarifária regular, criada para garantir a devolução aos consumidores de valores que não pertencem às distribuidoras de energia. </w:t>
      </w:r>
      <w:r w:rsidR="00C81B27" w:rsidRPr="007B0B53">
        <w:rPr>
          <w:rStyle w:val="Forte"/>
          <w:b w:val="0"/>
          <w:bCs w:val="0"/>
        </w:rPr>
        <w:t>Entendimento do Plenário</w:t>
      </w:r>
      <w:r w:rsidR="00C81B27" w:rsidRPr="007B0B53">
        <w:rPr>
          <w:spacing w:val="-5"/>
        </w:rPr>
        <w:t xml:space="preserve"> - </w:t>
      </w:r>
      <w:r w:rsidR="00C81B27" w:rsidRPr="007B0B53">
        <w:t xml:space="preserve">O julgamento, suspenso em dezembro do ano passado, foi retomado nesta quinta-feira com o voto-vista do ministro Luís Roberto Barroso. Em seguida, votaram a ministra </w:t>
      </w:r>
      <w:proofErr w:type="spellStart"/>
      <w:r w:rsidR="00C81B27" w:rsidRPr="007B0B53">
        <w:t>Cármen</w:t>
      </w:r>
      <w:proofErr w:type="spellEnd"/>
      <w:r w:rsidR="00C81B27" w:rsidRPr="007B0B53">
        <w:t xml:space="preserve"> Lúcia e o ministro Gilmar Mendes. De forma geral, todos acompanharam o relator, ministro Alexandre de Moraes, com divergências parciais.</w:t>
      </w:r>
      <w:r w:rsidR="00C81B27" w:rsidRPr="007B0B53">
        <w:rPr>
          <w:spacing w:val="-5"/>
        </w:rPr>
        <w:t xml:space="preserve"> </w:t>
      </w:r>
      <w:r w:rsidR="00C81B27" w:rsidRPr="007B0B53">
        <w:t xml:space="preserve">Prevaleceu o entendimento de que, nos casos em que a devolução ao consumidor ainda não tenha ocorrido, o ressarcimento deve ser integral, descontados apenas honorários e tributos adicionais. O prazo para pagamento é de dez anos, contados a partir da efetiva restituição do valor devido às distribuidoras ou da homologação da compensação dos valores a elas devolvidos, o que pode variar conforme cada distribuidora. </w:t>
      </w:r>
      <w:r w:rsidR="00C81B27" w:rsidRPr="007B0B53">
        <w:rPr>
          <w:rStyle w:val="Forte"/>
          <w:b w:val="0"/>
          <w:bCs w:val="0"/>
        </w:rPr>
        <w:t>Ação em julgamento -</w:t>
      </w:r>
      <w:r w:rsidR="00C81B27" w:rsidRPr="007B0B53">
        <w:rPr>
          <w:spacing w:val="-5"/>
        </w:rPr>
        <w:t xml:space="preserve"> </w:t>
      </w:r>
      <w:r w:rsidR="00C81B27" w:rsidRPr="007B0B53">
        <w:t>A ADI 7324 foi apresentada pela Associação Brasileira das Distribuidoras de Energia Elétrica (</w:t>
      </w:r>
      <w:proofErr w:type="spellStart"/>
      <w:r w:rsidR="00C81B27" w:rsidRPr="007B0B53">
        <w:t>Abradee</w:t>
      </w:r>
      <w:proofErr w:type="spellEnd"/>
      <w:r w:rsidR="00C81B27" w:rsidRPr="007B0B53">
        <w:t xml:space="preserve">), que afirmava que a Lei 14.385/2022 foi editada sem a observância do devido processo legislativo para criação de norma tributária. A entidade também sustentava que a lei colocaria em risco a saúde financeira do setor. O Plenário do STF afastou ambos os argumentos. </w:t>
      </w:r>
      <w:r w:rsidR="00C81B27" w:rsidRPr="007B0B53">
        <w:rPr>
          <w:rStyle w:val="Forte"/>
          <w:b w:val="0"/>
          <w:bCs w:val="0"/>
        </w:rPr>
        <w:t>Contexto</w:t>
      </w:r>
      <w:r w:rsidR="00C81B27" w:rsidRPr="007B0B53">
        <w:rPr>
          <w:spacing w:val="-5"/>
        </w:rPr>
        <w:t xml:space="preserve"> - </w:t>
      </w:r>
      <w:r w:rsidR="00C81B27" w:rsidRPr="007B0B53">
        <w:t xml:space="preserve">No julgamento do Tema 69 da Repercussão Geral, o STF decidiu que o ICMS não integra a base de cálculo do PIS e da </w:t>
      </w:r>
      <w:proofErr w:type="spellStart"/>
      <w:r w:rsidR="00C81B27" w:rsidRPr="007B0B53">
        <w:t>Cofins</w:t>
      </w:r>
      <w:proofErr w:type="spellEnd"/>
      <w:r w:rsidR="00C81B27" w:rsidRPr="007B0B53">
        <w:t>. Como esse crédito já integrava o patrimônio das distribuidoras de energia, elas passaram a questionar, na Justiça, a devolução desses valores aos consumidores.</w:t>
      </w:r>
      <w:r w:rsidR="00C81B27" w:rsidRPr="007B0B53">
        <w:rPr>
          <w:spacing w:val="-5"/>
        </w:rPr>
        <w:t xml:space="preserve"> </w:t>
      </w:r>
      <w:r w:rsidR="00C81B27" w:rsidRPr="007B0B53">
        <w:t>A Lei 14.385/2022, então, foi editada ampliando as atribuições da Aneel, a afim de permitir que a agência defina, por iniciativa própria, como esses recursos serão devolvidos ou compensados, evitando que as empresas obtenham ganhos indevidos.</w:t>
      </w:r>
    </w:p>
    <w:p w:rsidR="007F652E" w:rsidRPr="007B0B53" w:rsidRDefault="00C81B27" w:rsidP="007F652E">
      <w:pPr>
        <w:pStyle w:val="NormalWeb"/>
        <w:shd w:val="clear" w:color="auto" w:fill="FFFFFF"/>
        <w:spacing w:before="240" w:beforeAutospacing="0" w:after="0" w:afterAutospacing="0"/>
        <w:jc w:val="both"/>
        <w:textAlignment w:val="baseline"/>
        <w:rPr>
          <w:spacing w:val="-5"/>
        </w:rPr>
      </w:pPr>
      <w:r w:rsidRPr="007B0B53">
        <w:t xml:space="preserve">STF </w:t>
      </w:r>
      <w:r w:rsidR="007F652E" w:rsidRPr="007B0B53">
        <w:t xml:space="preserve">(ADPF 1247, in Notícias STF 06.08.2025) Cursos de saúde oferecidos por prefeituras fora dos limites do município são questionados no STF - </w:t>
      </w:r>
      <w:r w:rsidR="007F652E" w:rsidRPr="007B0B53">
        <w:rPr>
          <w:spacing w:val="-5"/>
        </w:rPr>
        <w:t xml:space="preserve">Entidade questiona ausência de supervisão federal e cobrança de mensalidades em instituições públicas municipais de ensino superior – </w:t>
      </w:r>
      <w:r w:rsidR="007F652E" w:rsidRPr="007B0B53">
        <w:t>A Associação dos Mantenedores Independentes Educadores do Ensino Superior (</w:t>
      </w:r>
      <w:proofErr w:type="spellStart"/>
      <w:r w:rsidR="007F652E" w:rsidRPr="007B0B53">
        <w:t>Amies</w:t>
      </w:r>
      <w:proofErr w:type="spellEnd"/>
      <w:r w:rsidR="007F652E" w:rsidRPr="007B0B53">
        <w:t>) acionou o Supremo Tribunal Federal (STF) contra a atuação de prefeituras por criarem ou autorizarem cursos de saúde, com cobrança de mensalidades, fora dos limites do município. A Arguição de Descumprimento de Preceito Fundamental </w:t>
      </w:r>
      <w:hyperlink r:id="rId5" w:tgtFrame="_blank" w:history="1">
        <w:r w:rsidR="007F652E" w:rsidRPr="007B0B53">
          <w:rPr>
            <w:rStyle w:val="Hyperlink"/>
            <w:color w:val="auto"/>
          </w:rPr>
          <w:t>(ADPF) 1247</w:t>
        </w:r>
      </w:hyperlink>
      <w:r w:rsidR="007F652E" w:rsidRPr="007B0B53">
        <w:t> foi distribuída ao ministro Flávio Dino.</w:t>
      </w:r>
      <w:r w:rsidR="007F652E" w:rsidRPr="007B0B53">
        <w:rPr>
          <w:spacing w:val="-5"/>
        </w:rPr>
        <w:t xml:space="preserve"> </w:t>
      </w:r>
      <w:r w:rsidR="007F652E" w:rsidRPr="007B0B53">
        <w:t xml:space="preserve">Segundo a </w:t>
      </w:r>
      <w:proofErr w:type="spellStart"/>
      <w:r w:rsidR="007F652E" w:rsidRPr="007B0B53">
        <w:t>Amies</w:t>
      </w:r>
      <w:proofErr w:type="spellEnd"/>
      <w:r w:rsidR="007F652E" w:rsidRPr="007B0B53">
        <w:t>, a prática viola a legislação federal, já que os cursos — especialmente os de medicina —, mantidos com recursos municipais, são oferecidos fora da sede, sem justificativa de interesse dos contribuintes e eleitores do município de origem. A entidade alega também que é indevida a cobrança de mensalidade em instituições públicas criadas após a Constituição Federal de 1988.</w:t>
      </w:r>
      <w:r w:rsidR="007F652E" w:rsidRPr="007B0B53">
        <w:rPr>
          <w:spacing w:val="-5"/>
        </w:rPr>
        <w:t xml:space="preserve"> </w:t>
      </w:r>
      <w:r w:rsidR="007F652E" w:rsidRPr="007B0B53">
        <w:t xml:space="preserve">A associação pede que a Corte reconheça que </w:t>
      </w:r>
      <w:r w:rsidR="007F652E" w:rsidRPr="007B0B53">
        <w:lastRenderedPageBreak/>
        <w:t xml:space="preserve">instituições de ensino superior municipais não podem atuar fora dos limites territoriais nem cobrar pelos cursos oferecidos. </w:t>
      </w:r>
      <w:r w:rsidR="007F652E" w:rsidRPr="007B0B53">
        <w:rPr>
          <w:rStyle w:val="Forte"/>
          <w:b w:val="0"/>
          <w:bCs w:val="0"/>
        </w:rPr>
        <w:t>Casos citados na ação</w:t>
      </w:r>
      <w:r w:rsidR="007F652E" w:rsidRPr="007B0B53">
        <w:rPr>
          <w:spacing w:val="-5"/>
        </w:rPr>
        <w:t xml:space="preserve"> - </w:t>
      </w:r>
      <w:r w:rsidR="007F652E" w:rsidRPr="007B0B53">
        <w:t xml:space="preserve">A </w:t>
      </w:r>
      <w:proofErr w:type="spellStart"/>
      <w:r w:rsidR="007F652E" w:rsidRPr="007B0B53">
        <w:t>Amies</w:t>
      </w:r>
      <w:proofErr w:type="spellEnd"/>
      <w:r w:rsidR="007F652E" w:rsidRPr="007B0B53">
        <w:t xml:space="preserve"> cita três exemplos na ação: a Universidade de Taubaté (SP), o Centro Universitário de Mineiros (GO) e a Universidade de Rio Verde (GO). Segundo a entidade, as instituições expandiram seus </w:t>
      </w:r>
      <w:r w:rsidR="007F652E" w:rsidRPr="007B0B53">
        <w:rPr>
          <w:rStyle w:val="nfase"/>
          <w:rFonts w:eastAsiaTheme="majorEastAsia"/>
        </w:rPr>
        <w:t>campi</w:t>
      </w:r>
      <w:r w:rsidR="007F652E" w:rsidRPr="007B0B53">
        <w:t> para outros municípios — inclusive em outro estado — e passaram a cobrar mensalidades. Alega que esses cursos foram criados sem qualquer supervisão do Ministério da Educação, o que, segundo ela, contraria o entendimento do próprio STF. Entre outras regras constitucionais, a associação sustenta violação à competência da União para legislar sobre diretrizes e bases da educação e ao princípio da gratuidade do ensino público.</w:t>
      </w:r>
    </w:p>
    <w:p w:rsidR="00435EB2" w:rsidRPr="007B0B53" w:rsidRDefault="007F652E" w:rsidP="00435EB2">
      <w:pPr>
        <w:pStyle w:val="NormalWeb"/>
        <w:shd w:val="clear" w:color="auto" w:fill="FFFFFF"/>
        <w:spacing w:before="240" w:beforeAutospacing="0" w:after="0" w:afterAutospacing="0"/>
        <w:jc w:val="both"/>
        <w:textAlignment w:val="baseline"/>
        <w:rPr>
          <w:spacing w:val="-5"/>
        </w:rPr>
      </w:pPr>
      <w:r w:rsidRPr="007B0B53">
        <w:t xml:space="preserve">STF </w:t>
      </w:r>
      <w:r w:rsidR="00435EB2" w:rsidRPr="007B0B53">
        <w:t xml:space="preserve">(ADPF 1248, in Notícias STF 05.08.2025) Associação contesta lei do Município de Serra (ES) que transformou guarda municipal em “patrimonial” - </w:t>
      </w:r>
      <w:r w:rsidR="00435EB2" w:rsidRPr="007B0B53">
        <w:rPr>
          <w:spacing w:val="-5"/>
        </w:rPr>
        <w:t xml:space="preserve">Entidade também pede inconstitucionalidade de norma que aglutinou a função a outras – </w:t>
      </w:r>
      <w:r w:rsidR="00435EB2" w:rsidRPr="007B0B53">
        <w:t>A Associação Nacional de Altos Estudos de Guarda Municipal (ANAEGM) acionou o Supremo Tribunal Federal (STF) contra leis do Município de Serra (ES) que organizam a guarda civil. São questionados, entre outros pontos, a mudança do nome do órgão para “guarda patrimonial” e a transformação do cargo em uma função que foi aglutinada a outras carreiras.</w:t>
      </w:r>
      <w:r w:rsidR="00435EB2" w:rsidRPr="007B0B53">
        <w:rPr>
          <w:spacing w:val="-5"/>
        </w:rPr>
        <w:t xml:space="preserve"> </w:t>
      </w:r>
      <w:r w:rsidR="00435EB2" w:rsidRPr="007B0B53">
        <w:t>O pedido da entidade na Arguição de Descumprimento de Preceito Fundamental (ADPF) 1248 é para que o STF declare inconstitucionais os dispositivos questionados. A ação foi distribuída ao ministro André Mendonça.</w:t>
      </w:r>
      <w:r w:rsidR="00435EB2" w:rsidRPr="007B0B53">
        <w:rPr>
          <w:spacing w:val="-5"/>
        </w:rPr>
        <w:t xml:space="preserve"> </w:t>
      </w:r>
      <w:r w:rsidR="00435EB2" w:rsidRPr="007B0B53">
        <w:t>No processo, a ANAEGM argumenta que a alteração no nome da corporação contraria a Constituição e a lei federal que estabelece o estatuto das guardas municipais, que não usam a nomenclatura “patrimonial” para se referir a essa carreira. Sobre a junção de diversas funções em um mesmo cargo, a entidade aponta que a medida fez com que auxiliares de obras e serviços gerais exerçam atividades variadas, entre elas a de guarda municipal.</w:t>
      </w:r>
      <w:r w:rsidR="00435EB2" w:rsidRPr="007B0B53">
        <w:rPr>
          <w:spacing w:val="-5"/>
        </w:rPr>
        <w:t xml:space="preserve"> </w:t>
      </w:r>
      <w:r w:rsidR="00435EB2" w:rsidRPr="007B0B53">
        <w:t>Um dos exemplos citados pela associação para basear seu pedido foi a decisão do STF que validou a atuação de guardas municipais na segurança urbana. O entendimento tomado no julgamento do Recurso Extraordinário (RE) 608588, com repercussão geral (Tema 656), em fevereiro, reconheceu a possibilidade de guardas fazerem o policiamento ostensivo e comunitário, inclusive para realizar prisões em flagrante.</w:t>
      </w:r>
    </w:p>
    <w:p w:rsidR="00CC025D" w:rsidRPr="007B0B53" w:rsidRDefault="00435EB2" w:rsidP="00CC025D">
      <w:pPr>
        <w:pStyle w:val="NormalWeb"/>
        <w:shd w:val="clear" w:color="auto" w:fill="FFFFFF"/>
        <w:spacing w:before="240" w:beforeAutospacing="0" w:after="0" w:afterAutospacing="0"/>
        <w:jc w:val="both"/>
        <w:textAlignment w:val="baseline"/>
      </w:pPr>
      <w:r w:rsidRPr="007B0B53">
        <w:rPr>
          <w:lang w:val="en-US"/>
        </w:rPr>
        <w:t xml:space="preserve">STF </w:t>
      </w:r>
      <w:r w:rsidR="00791365" w:rsidRPr="007B0B53">
        <w:rPr>
          <w:lang w:val="en-US"/>
        </w:rPr>
        <w:t xml:space="preserve">(ADI 7852, in </w:t>
      </w:r>
      <w:proofErr w:type="spellStart"/>
      <w:r w:rsidR="00791365" w:rsidRPr="007B0B53">
        <w:rPr>
          <w:lang w:val="en-US"/>
        </w:rPr>
        <w:t>Migalhas</w:t>
      </w:r>
      <w:proofErr w:type="spellEnd"/>
      <w:r w:rsidR="00791365" w:rsidRPr="007B0B53">
        <w:rPr>
          <w:lang w:val="en-US"/>
        </w:rPr>
        <w:t xml:space="preserve"> 30.07.2025</w:t>
      </w:r>
      <w:r w:rsidR="0026343E" w:rsidRPr="007B0B53">
        <w:rPr>
          <w:lang w:val="en-US"/>
        </w:rPr>
        <w:t xml:space="preserve"> – Cf. </w:t>
      </w:r>
      <w:proofErr w:type="spellStart"/>
      <w:r w:rsidR="0026343E" w:rsidRPr="007B0B53">
        <w:rPr>
          <w:lang w:val="en-US"/>
        </w:rPr>
        <w:t>tb</w:t>
      </w:r>
      <w:proofErr w:type="spellEnd"/>
      <w:r w:rsidR="0026343E" w:rsidRPr="007B0B53">
        <w:rPr>
          <w:lang w:val="en-US"/>
        </w:rPr>
        <w:t xml:space="preserve">. </w:t>
      </w:r>
      <w:r w:rsidR="0026343E" w:rsidRPr="007B0B53">
        <w:t>Notícias STF 30.07.2025</w:t>
      </w:r>
      <w:r w:rsidR="00791365" w:rsidRPr="007B0B53">
        <w:t>)</w:t>
      </w:r>
      <w:r w:rsidR="00CC025D" w:rsidRPr="007B0B53">
        <w:t xml:space="preserve"> </w:t>
      </w:r>
      <w:r w:rsidR="00791365" w:rsidRPr="007B0B53">
        <w:t xml:space="preserve">Transporte – CNS contesta no STF exigência de autorização municipal para </w:t>
      </w:r>
      <w:proofErr w:type="spellStart"/>
      <w:r w:rsidR="00791365" w:rsidRPr="007B0B53">
        <w:t>mototáxis</w:t>
      </w:r>
      <w:proofErr w:type="spellEnd"/>
      <w:r w:rsidR="00791365" w:rsidRPr="007B0B53">
        <w:t xml:space="preserve"> - Confederação pede medida cautelar para suspender norma que impõe aval de municípios para transporte individual de passageiros por motocicleta. A CNS - Confederação Nacional de Serviços ajuizou ação, com pedido de liminar, no STF para contestar a validade da lei 18.156/25, do Estado de São Paulo. A norma condiciona a prestação de serviço de transporte individual privado remunerado de passageiros por motocicletas à autorização e regulamentação prévia pelos municípios paulistas. O processo foi distribuído ao ministro Alexandre de Moraes, que atuará como relator da ação. Segundo a CNS, que representa empresas do setor de serviços, incluindo plataformas como </w:t>
      </w:r>
      <w:proofErr w:type="spellStart"/>
      <w:r w:rsidR="00791365" w:rsidRPr="007B0B53">
        <w:t>Uber</w:t>
      </w:r>
      <w:proofErr w:type="spellEnd"/>
      <w:r w:rsidR="00791365" w:rsidRPr="007B0B53">
        <w:t>, 99 e similares, a norma estadual afronta a CF ao invadir competência privativa da União para legislar sobre trânsito, transporte e diretrizes da política nacional de mobilidade urbana, nos termos do art. 22, IX e XI. A entidade também sustenta violação aos princípios da livre iniciativa, da livre concorrência e do direito de escolha do consumidor (</w:t>
      </w:r>
      <w:proofErr w:type="spellStart"/>
      <w:r w:rsidR="00791365" w:rsidRPr="007B0B53">
        <w:t>arts</w:t>
      </w:r>
      <w:proofErr w:type="spellEnd"/>
      <w:r w:rsidR="00791365" w:rsidRPr="007B0B53">
        <w:t xml:space="preserve">. 1º, IV, e 170 da CF), configurando, além de vício formal, </w:t>
      </w:r>
      <w:r w:rsidR="00CC025D" w:rsidRPr="007B0B53">
        <w:t xml:space="preserve">inconstitucionalidade material. Proibição disfarçada - Segundo a petição, a exigência de autorização municipal para os serviços de </w:t>
      </w:r>
      <w:proofErr w:type="spellStart"/>
      <w:r w:rsidR="00CC025D" w:rsidRPr="007B0B53">
        <w:t>mototáxi</w:t>
      </w:r>
      <w:proofErr w:type="spellEnd"/>
      <w:r w:rsidR="00CC025D" w:rsidRPr="007B0B53">
        <w:t xml:space="preserve"> por aplicativo cria, na prática, vedação generalizada da atividade em todo o Estado, exceto onde houver regulamentação específica. A CNS argumenta que esse modelo inverte a lógica constitucional, que presume a liberdade do exercício de atividade econômica privada, salvo exceções expressamente previstas em lei. A entidade destaca que a jurisprudência do Supremo já reconheceu a inconstitucionalidade de leis municipais e estaduais que tentaram impedir o transporte por aplicativo, com base na livre iniciativa e na competência Federal para legislar sobre o tema. Nesse sentido, cita os precedentes da ADPF 449 e do RE 1.054.110 (Tema 967 da repercussão geral), nos quais o STF assentou que não cabe a entes subnacionais criar obstáculos à atividade de transporte privado individual, inclusive quando intermediada por plataformas digitais. Comparação com </w:t>
      </w:r>
      <w:proofErr w:type="spellStart"/>
      <w:r w:rsidR="00CC025D" w:rsidRPr="007B0B53">
        <w:t>mototáxi</w:t>
      </w:r>
      <w:proofErr w:type="spellEnd"/>
      <w:r w:rsidR="00CC025D" w:rsidRPr="007B0B53">
        <w:t xml:space="preserve"> tradicional - A CNS também argumenta que, se o STF já reconheceu a constitucionalidade da atividade de </w:t>
      </w:r>
      <w:proofErr w:type="spellStart"/>
      <w:r w:rsidR="00CC025D" w:rsidRPr="007B0B53">
        <w:t>mototáxi</w:t>
      </w:r>
      <w:proofErr w:type="spellEnd"/>
      <w:r w:rsidR="00CC025D" w:rsidRPr="007B0B53">
        <w:t xml:space="preserve"> (regulada pela lei 12.009/09), que é considerada serviço público individual, com mais intervenção estatal, não haveria justificativa para restringir ainda mais o transporte privado de passageiros por motocicleta via aplicativos, atividade de natureza privada e regida por regras de mercado. Danos sociais e econômicos - A Confederação também relata que plataformas como </w:t>
      </w:r>
      <w:proofErr w:type="spellStart"/>
      <w:r w:rsidR="00CC025D" w:rsidRPr="007B0B53">
        <w:t>Uber</w:t>
      </w:r>
      <w:proofErr w:type="spellEnd"/>
      <w:r w:rsidR="00CC025D" w:rsidRPr="007B0B53">
        <w:t xml:space="preserve"> e 99 já receberam notificações de municípios paulistas determinando a interrupção do serviço de </w:t>
      </w:r>
      <w:proofErr w:type="spellStart"/>
      <w:r w:rsidR="00CC025D" w:rsidRPr="007B0B53">
        <w:t>mototáxi</w:t>
      </w:r>
      <w:proofErr w:type="spellEnd"/>
      <w:r w:rsidR="00CC025D" w:rsidRPr="007B0B53">
        <w:t xml:space="preserve"> com base na nova lei. Para a entidade, isso </w:t>
      </w:r>
      <w:r w:rsidR="00CC025D" w:rsidRPr="007B0B53">
        <w:lastRenderedPageBreak/>
        <w:t>representa ameaça concreta à renda de milhares de motociclistas e afeta principalmente usuários de regiões periféricas, que dependem do serviço por ser mais barato e acessível do que o transporte coletivo ou por automóveis. A CNS enfatiza ainda que o serviço tem rígidos padrões de segurança e que mais de 760 milhões de corridas foram realizadas por motocicleta em 2024, com índice de incidentes de apenas 0,0003%. Por isso, sustenta que a norma foi aprovada de forma apressada e sem o devido debate público, ferindo a proporcionalidade e ignorando dados relevantes. Pedidos - Ao final, requer a concessão de medida cautelar para suspender imediatamente os efeitos da lei 18.156/25, com efeito retroativo (</w:t>
      </w:r>
      <w:proofErr w:type="spellStart"/>
      <w:r w:rsidR="00CC025D" w:rsidRPr="007B0B53">
        <w:t>ex</w:t>
      </w:r>
      <w:proofErr w:type="spellEnd"/>
      <w:r w:rsidR="00CC025D" w:rsidRPr="007B0B53">
        <w:t xml:space="preserve"> </w:t>
      </w:r>
      <w:proofErr w:type="spellStart"/>
      <w:r w:rsidR="00CC025D" w:rsidRPr="007B0B53">
        <w:t>tunc</w:t>
      </w:r>
      <w:proofErr w:type="spellEnd"/>
      <w:r w:rsidR="00CC025D" w:rsidRPr="007B0B53">
        <w:t xml:space="preserve">), para evitar sanções e proibições já em curso. No mérito, pede a declaração de inconstitucionalidade integral da norma, ou, subsidiariamente, do art. 1º (Artigo 1° - No Estado, a utilização de motocicletas para a prestação do serviço de transporte individual privado remunerado de passageiros fica condicionada à autorização e regulamentação dos municípios), por entender que os demais dispositivos apenas repetem normas já previstas na legislação Federal. Vai e vem - A lei questionada é estadual, mas na capital paulista, o imbróglio envolvendo aplicativos de transporte e prefeitura sofreu diversas reviravoltas judiciais. Com base no decreto municipal 62.144/23, a prefeitura de São Paulo proibiu o serviço. A empresa 99 ajuizou ação contra a determinação e, no início de 2025, teve liminar negada na 1ª instância e a negativa mantida em 2º grau. Em maio, ao analisar o mérito, o juiz de Direito Josué Vilela </w:t>
      </w:r>
      <w:proofErr w:type="spellStart"/>
      <w:r w:rsidR="00CC025D" w:rsidRPr="007B0B53">
        <w:t>Pimental</w:t>
      </w:r>
      <w:proofErr w:type="spellEnd"/>
      <w:r w:rsidR="00CC025D" w:rsidRPr="007B0B53">
        <w:t xml:space="preserve">, da 8ª vara da Fazenda Pública, derrubou a proibição e autorizou as plataformas a retomarem o serviço. No entanto, dias depois, uma liminar restabeleceu a suspensão e determinou que a Prefeitura apresentasse uma proposta de regulamentação em até 90 dias. A decisão definitiva veio em junho, quando a 7ª Câmara de Direito Público do TJ/SP reformou a sentença de 1º grau e reconheceu a validade do decreto municipal. O colegiado entendeu que a suspensão visa à proteção da segurança viária e deve perdurar até que haja regulamentação específica. Já em julho, o Procon/SP multou a </w:t>
      </w:r>
      <w:proofErr w:type="spellStart"/>
      <w:r w:rsidR="00CC025D" w:rsidRPr="007B0B53">
        <w:t>Uber</w:t>
      </w:r>
      <w:proofErr w:type="spellEnd"/>
      <w:r w:rsidR="00CC025D" w:rsidRPr="007B0B53">
        <w:t xml:space="preserve"> e a 99 por manterem a oferta do serviço em desacordo com a decisão judicial vigente. As penalidades somam mais de R$ 17 milhões.</w:t>
      </w:r>
    </w:p>
    <w:p w:rsidR="00F350D5" w:rsidRPr="007B0B53" w:rsidRDefault="00791365" w:rsidP="00F350D5">
      <w:pPr>
        <w:pStyle w:val="NormalWeb"/>
        <w:shd w:val="clear" w:color="auto" w:fill="FFFFFF"/>
        <w:spacing w:before="240" w:beforeAutospacing="0" w:after="0" w:afterAutospacing="0"/>
        <w:jc w:val="both"/>
        <w:textAlignment w:val="baseline"/>
      </w:pPr>
      <w:r w:rsidRPr="007B0B53">
        <w:t xml:space="preserve">STF </w:t>
      </w:r>
      <w:r w:rsidR="00F350D5" w:rsidRPr="007B0B53">
        <w:t xml:space="preserve">(ADI 7840, in Notícias STF 25.07.2025) STF suspende normas de Pernambuco sobre licenciamento de antenas - </w:t>
      </w:r>
      <w:r w:rsidR="00F350D5" w:rsidRPr="007B0B53">
        <w:rPr>
          <w:spacing w:val="-5"/>
        </w:rPr>
        <w:t>Em análise preliminar do caso, ministro Flávio Dino considerou que legislação estadual invadiu competência da União -</w:t>
      </w:r>
      <w:r w:rsidR="00F350D5" w:rsidRPr="007B0B53">
        <w:t xml:space="preserve"> O ministro Flávio Dino, do Supremo Tribunal Federal (STF), suspendeu trechos da legislação do Estado de Pernambuco que exigiam licenciamento ambiental estadual para a instalação e a operação de Estações Rádio Base (</w:t>
      </w:r>
      <w:proofErr w:type="spellStart"/>
      <w:r w:rsidR="00F350D5" w:rsidRPr="007B0B53">
        <w:t>ERBs</w:t>
      </w:r>
      <w:proofErr w:type="spellEnd"/>
      <w:r w:rsidR="00F350D5" w:rsidRPr="007B0B53">
        <w:t>) e demais infraestruturas de telecomunicações. A decisão liminar foi tomada na Ação Direta de Inconstitucionalidade </w:t>
      </w:r>
      <w:r w:rsidR="00F350D5" w:rsidRPr="007B0B53">
        <w:rPr>
          <w:rStyle w:val="Forte"/>
          <w:b w:val="0"/>
        </w:rPr>
        <w:t>(ADI) 7840</w:t>
      </w:r>
      <w:r w:rsidR="00F350D5" w:rsidRPr="007B0B53">
        <w:t> e será submetida a referendo do Plenário. Na ação, a Associação Nacional das Operadoras Celulares (</w:t>
      </w:r>
      <w:proofErr w:type="spellStart"/>
      <w:r w:rsidR="00F350D5" w:rsidRPr="007B0B53">
        <w:t>Acel</w:t>
      </w:r>
      <w:proofErr w:type="spellEnd"/>
      <w:r w:rsidR="00F350D5" w:rsidRPr="007B0B53">
        <w:t xml:space="preserve">) questiona diversos dispositivos da Lei estadual 14.249/2010, da Resolução </w:t>
      </w:r>
      <w:proofErr w:type="spellStart"/>
      <w:r w:rsidR="00F350D5" w:rsidRPr="007B0B53">
        <w:t>Consema</w:t>
      </w:r>
      <w:proofErr w:type="spellEnd"/>
      <w:r w:rsidR="00F350D5" w:rsidRPr="007B0B53">
        <w:t xml:space="preserve">/PE 01/2018 e da Instrução Normativa CPRH 03/2023, que tratam do processo de licenciamento ambiental para serviços de telecomunicações em território pernambucano. A entidade argumenta que essas normas estabelecem condicionantes para o funcionamento de um setor regulado por normas federais específicas. </w:t>
      </w:r>
      <w:r w:rsidR="00F350D5" w:rsidRPr="007B0B53">
        <w:rPr>
          <w:rStyle w:val="Forte"/>
          <w:b w:val="0"/>
          <w:bCs w:val="0"/>
        </w:rPr>
        <w:t>Competência da União -</w:t>
      </w:r>
      <w:r w:rsidR="00F350D5" w:rsidRPr="007B0B53">
        <w:t xml:space="preserve"> Ao analisar o pedido de liminar, o ministro Flávio Dino destacou que o STF já definiu (Tema 1235 da repercussão geral) que compete exclusivamente à União legislar sobre telecomunicações e estabelecer normas relacionadas à sua fiscalização e instalação, mesmo quando envolvem questões ambientais. Segundo o relator, a competência dos estados e municípios para legislar sobre meio ambiente, saúde pública e uso do solo não os autoriza a impor regras que interfiram na prestação dos serviços de telecomunicações, cuja regulação é federal. Ele citou como base a Lei Geral das Antenas (Lei 13.116/2015), que dá à União a responsabilidade de regulamentar e fiscalizar aspectos técnicos das redes e serviços de telecomunicações. </w:t>
      </w:r>
      <w:r w:rsidR="00F350D5" w:rsidRPr="007B0B53">
        <w:rPr>
          <w:rStyle w:val="Forte"/>
          <w:b w:val="0"/>
          <w:bCs w:val="0"/>
        </w:rPr>
        <w:t>Liminar -</w:t>
      </w:r>
      <w:r w:rsidR="00F350D5" w:rsidRPr="007B0B53">
        <w:t xml:space="preserve"> Com base nesse entendimento, Flávio Dino deferiu parcialmente a medida cautelar para suspender a eficácia de dispositivos que exigem o licenciamento ambiental estadual para </w:t>
      </w:r>
      <w:proofErr w:type="spellStart"/>
      <w:r w:rsidR="00F350D5" w:rsidRPr="007B0B53">
        <w:t>ERBs</w:t>
      </w:r>
      <w:proofErr w:type="spellEnd"/>
      <w:r w:rsidR="00F350D5" w:rsidRPr="007B0B53">
        <w:t>, redes de transmissão e equipamentos de telefonia sem fio. Também determinou que os demais dispositivos das normas questionadas sejam interpretados de forma a não se aplicarem a empreendimentos relacionados a serviços de telecomunicações. O ministro solicitou ainda informações ao presidente da Assembleia Legislativa e ao governador do estado.</w:t>
      </w:r>
    </w:p>
    <w:p w:rsidR="004C72F4" w:rsidRPr="007B0B53" w:rsidRDefault="004C72F4" w:rsidP="004C72F4">
      <w:pPr>
        <w:pStyle w:val="NormalWeb"/>
        <w:shd w:val="clear" w:color="auto" w:fill="FFFFFF"/>
        <w:spacing w:before="240" w:beforeAutospacing="0" w:after="0" w:afterAutospacing="0"/>
        <w:jc w:val="both"/>
        <w:textAlignment w:val="baseline"/>
      </w:pPr>
      <w:r w:rsidRPr="007B0B53">
        <w:t xml:space="preserve">STF (ADI 7847, in Notícias STF 25.07.2025) Associações acionam STF contra lei que limita ensino sobre gênero em escolas do Espírito Santo - </w:t>
      </w:r>
      <w:r w:rsidRPr="007B0B53">
        <w:rPr>
          <w:spacing w:val="-5"/>
        </w:rPr>
        <w:t xml:space="preserve">Para organizações LGBTQIAPN+, a norma invade competência privativa da União e impõe limitação às atividades de docentes - </w:t>
      </w:r>
      <w:r w:rsidRPr="007B0B53">
        <w:t xml:space="preserve">Três organizações defensoras dos direitos das pessoas LGBTQIAPN+ ingressaram com uma ação no Supremo Tribunal Federal (STF) contra uma lei do Espírito Santo que autoriza pais ou responsáveis a proibirem seus filhos ou tutelados de participarem de aulas sobre identidade de gênero, orientação sexual, diversidade sexual, igualdade de gênero e temas </w:t>
      </w:r>
      <w:r w:rsidRPr="007B0B53">
        <w:lastRenderedPageBreak/>
        <w:t xml:space="preserve">semelhantes. O processo foi distribuído à ministra </w:t>
      </w:r>
      <w:proofErr w:type="spellStart"/>
      <w:r w:rsidRPr="007B0B53">
        <w:t>Cármen</w:t>
      </w:r>
      <w:proofErr w:type="spellEnd"/>
      <w:r w:rsidRPr="007B0B53">
        <w:t xml:space="preserve"> Lúcia. Na Ação Direta de Inconstitucionalidade </w:t>
      </w:r>
      <w:r w:rsidRPr="007B0B53">
        <w:rPr>
          <w:rStyle w:val="Forte"/>
          <w:rFonts w:eastAsiaTheme="majorEastAsia"/>
          <w:b w:val="0"/>
        </w:rPr>
        <w:t>(ADI) 7847</w:t>
      </w:r>
      <w:r w:rsidRPr="007B0B53">
        <w:t xml:space="preserve">, as entidades argumentam que a Lei estadual 12.479/2025 viola a Constituição por invadir competência exclusiva da União para legislar sobre diretrizes e bases da educação nacional, além de afrontar direitos fundamentais como a liberdade de expressão e a liberdade de cátedra. As organizações também sustentam que a lei provoca uma situação de anormalidade no ambiente escolar, pois os docentes podem ser obrigados a silenciar diante de perguntas de alunos devido à proibição imposta por alguns pais que não desejam que determinados temas sejam debatidos em sala de aula. A ADI 7847 foi proposta conjuntamente pela Aliança Nacional LGBTI+ (Aliança), pela Associação Brasileira de Famílias </w:t>
      </w:r>
      <w:proofErr w:type="spellStart"/>
      <w:r w:rsidRPr="007B0B53">
        <w:t>Homotransafetivas</w:t>
      </w:r>
      <w:proofErr w:type="spellEnd"/>
      <w:r w:rsidRPr="007B0B53">
        <w:t xml:space="preserve"> (</w:t>
      </w:r>
      <w:proofErr w:type="spellStart"/>
      <w:r w:rsidRPr="007B0B53">
        <w:t>Abrafh</w:t>
      </w:r>
      <w:proofErr w:type="spellEnd"/>
      <w:r w:rsidRPr="007B0B53">
        <w:t>) e pela Associação Comunitária, Cultural e de Apoio Social – Fórum Nacional de Travestis e Transexuais Negras e Negros (</w:t>
      </w:r>
      <w:proofErr w:type="spellStart"/>
      <w:r w:rsidRPr="007B0B53">
        <w:t>Fonatrans</w:t>
      </w:r>
      <w:proofErr w:type="spellEnd"/>
      <w:r w:rsidRPr="007B0B53">
        <w:t>).</w:t>
      </w:r>
    </w:p>
    <w:p w:rsidR="00B20084" w:rsidRPr="007B0B53" w:rsidRDefault="00F350D5" w:rsidP="00B20084">
      <w:pPr>
        <w:pStyle w:val="NormalWeb"/>
        <w:shd w:val="clear" w:color="auto" w:fill="FFFFFF"/>
        <w:spacing w:before="240" w:beforeAutospacing="0" w:after="0" w:afterAutospacing="0"/>
        <w:jc w:val="both"/>
        <w:textAlignment w:val="baseline"/>
      </w:pPr>
      <w:r w:rsidRPr="007B0B53">
        <w:t>STF</w:t>
      </w:r>
      <w:r w:rsidR="003319CB" w:rsidRPr="007B0B53">
        <w:t xml:space="preserve"> </w:t>
      </w:r>
      <w:r w:rsidR="00B20084" w:rsidRPr="007B0B53">
        <w:t xml:space="preserve">(ADI 7845, in Notícias STF 08.07.2025) Decreto que proíbe ensino a distância em cursos superiores é questionado no STF - </w:t>
      </w:r>
      <w:r w:rsidR="00B20084" w:rsidRPr="007B0B53">
        <w:rPr>
          <w:spacing w:val="-5"/>
        </w:rPr>
        <w:t>Argumento é que a norma do Executivo federal cria obrigações e restrições sem respaldo em lei -</w:t>
      </w:r>
      <w:r w:rsidR="00B20084" w:rsidRPr="007B0B53">
        <w:t xml:space="preserve"> Chegou ao Supremo Tribunal Federal (STF) um questionamento sobre a constitucionalidade do decreto presidencial que determina que cursos de graduação em direito, medicina, enfermagem, odontologia, psicologia, bem como os cursos de licenciatura, têm de ser exclusivamente presenciais. A Ação Direta de Inconstitucionalidade </w:t>
      </w:r>
      <w:r w:rsidR="00B20084" w:rsidRPr="007B0B53">
        <w:rPr>
          <w:rStyle w:val="Forte"/>
          <w:b w:val="0"/>
        </w:rPr>
        <w:t>(ADI) 7845</w:t>
      </w:r>
      <w:r w:rsidR="00B20084" w:rsidRPr="007B0B53">
        <w:t xml:space="preserve">, proposta pela Associação Brasileira dos Estudantes de Educação à Distância (ABE-EAD), foi distribuída ao ministro André Mendonça, que pediu informações às autoridades envolvidas. A entidade sustenta que a medida, prevista no Decreto presidencial 12.456/2025, cria obrigações e restrições sem respaldo em lei e afronta o direito fundamental à educação, a autonomia universitária e a Lei de Diretrizes e Bases da Educação Nacional. Questiona, ainda, a autorização dada pelo decreto para que o ministro da Educação amplie, por ato </w:t>
      </w:r>
      <w:proofErr w:type="spellStart"/>
      <w:r w:rsidR="00B20084" w:rsidRPr="007B0B53">
        <w:t>infralegal</w:t>
      </w:r>
      <w:proofErr w:type="spellEnd"/>
      <w:r w:rsidR="00B20084" w:rsidRPr="007B0B53">
        <w:t>, o rol de cursos proibidos. Para a autora, essa previsão é uma delegação normativa indevida, que ofende os princípios da separação dos Poderes e da legalidade. Conforme a ABE-EAD, a vigência do decreto implicará “o fechamento de cursos, a interrupção de matrículas, a frustração de projetos pedagógicos legitimamente aprovados, a exclusão educacional em massa e o retrocesso injustificável no processo de democratização do ensino superior brasileiro”.</w:t>
      </w:r>
    </w:p>
    <w:p w:rsidR="00EF68A2" w:rsidRPr="007B0B53" w:rsidRDefault="00B20084" w:rsidP="00EF68A2">
      <w:pPr>
        <w:pStyle w:val="NormalWeb"/>
        <w:shd w:val="clear" w:color="auto" w:fill="FFFFFF"/>
        <w:spacing w:before="240" w:beforeAutospacing="0" w:after="0" w:afterAutospacing="0"/>
        <w:jc w:val="both"/>
        <w:textAlignment w:val="baseline"/>
      </w:pPr>
      <w:r w:rsidRPr="007B0B53">
        <w:t xml:space="preserve">STF </w:t>
      </w:r>
      <w:r w:rsidR="00EF68A2" w:rsidRPr="007B0B53">
        <w:t xml:space="preserve">(ADPF 1240, in Jota Jornal 04.07.2025) ABORTO – Lei do RJ que prevê cartazes </w:t>
      </w:r>
      <w:proofErr w:type="spellStart"/>
      <w:r w:rsidR="00EF68A2" w:rsidRPr="007B0B53">
        <w:t>antiaborto</w:t>
      </w:r>
      <w:proofErr w:type="spellEnd"/>
      <w:r w:rsidR="00EF68A2" w:rsidRPr="007B0B53">
        <w:t xml:space="preserve"> em hospitais é contestada no STF pelo </w:t>
      </w:r>
      <w:proofErr w:type="spellStart"/>
      <w:r w:rsidR="00EF68A2" w:rsidRPr="007B0B53">
        <w:t>PSol</w:t>
      </w:r>
      <w:proofErr w:type="spellEnd"/>
      <w:r w:rsidR="00EF68A2" w:rsidRPr="007B0B53">
        <w:t xml:space="preserve"> - </w:t>
      </w:r>
      <w:r w:rsidR="00EF68A2" w:rsidRPr="007B0B53">
        <w:rPr>
          <w:bCs/>
        </w:rPr>
        <w:t>Partido defende que imposição do conteúdo dos cartazes configura 'constrangimento psicológico' às mulheres</w:t>
      </w:r>
      <w:r w:rsidR="00EF68A2" w:rsidRPr="007B0B53">
        <w:rPr>
          <w:b/>
          <w:bCs/>
        </w:rPr>
        <w:t xml:space="preserve"> - </w:t>
      </w:r>
      <w:r w:rsidR="00EF68A2" w:rsidRPr="007B0B53">
        <w:t>O Partido Socialismo e Liberdade (</w:t>
      </w:r>
      <w:proofErr w:type="spellStart"/>
      <w:r w:rsidR="00EF68A2" w:rsidRPr="007B0B53">
        <w:t>PSol</w:t>
      </w:r>
      <w:proofErr w:type="spellEnd"/>
      <w:r w:rsidR="00EF68A2" w:rsidRPr="007B0B53">
        <w:t xml:space="preserve">) protocolou, nesta sexta-feira (4/7), com apoio da Frente Estadual contra a Criminalização das Mulheres e pela Legalização do Aborto (Frente Rio), uma Arguição de Descumprimento de Preceito Fundamental (ADPF) ao Supremo Tribunal Federal (STF) contra a Lei Municipal 8.936/25, do município do Rio de Janeiro (RJ), que determina a fixação de cartazes </w:t>
      </w:r>
      <w:proofErr w:type="spellStart"/>
      <w:r w:rsidR="00EF68A2" w:rsidRPr="007B0B53">
        <w:t>antiaborto</w:t>
      </w:r>
      <w:proofErr w:type="spellEnd"/>
      <w:r w:rsidR="00EF68A2" w:rsidRPr="007B0B53">
        <w:t xml:space="preserve"> em unidades hospitalares da capital fluminense. A norma foi sancionada pelo prefeito Eduardo Paes (PSD-RJ) em 12 de junho, após aprovação da Câmara Municipal do Rio de Janeiro. O ministro André Mendonça será o relator da ação. (...) Pela redação da norma, os cartazes devem conter as seguintes frases: “Aborto pode acarretar consequências como infertilidade, problemas psicológicos, infecções e até óbito"; “Você sabia que o nascituro é descartado como lixo hospitalar?”; e “Você tem direito a doar o bebê de forma sigilosa. Há apoio e solidariedade disponíveis para você. Dê uma chance à vida!”. O partido afirma que a afixação dos cartazes visa, de forma clara, impedir que pacientes acessem os serviços de aborto legal, seguro e gratuito oferecidos pelo Sistema Único de Saúde (SUS) na rede pública do Rio de Janeiro. Para a sigla, a norma induz a conclusão precipitada de que se trata de norma de Direito Administrativo e direito à saúde, além de versar e se interseccionar com matéria de Direito Penal, ao disciplinar sobre o aborto e a forma de conduzi-lo em centros de saúde. Na arguição protocolada, o </w:t>
      </w:r>
      <w:proofErr w:type="spellStart"/>
      <w:r w:rsidR="00EF68A2" w:rsidRPr="007B0B53">
        <w:t>PSol</w:t>
      </w:r>
      <w:proofErr w:type="spellEnd"/>
      <w:r w:rsidR="00EF68A2" w:rsidRPr="007B0B53">
        <w:t xml:space="preserve"> também argumenta que, ao regulamentar o aborto legal e impor restrições ao seu acesso, a Lei Municipal 8.936/2025 usurpa a competência legislativa privativa da União e contraria a legislação federal de natureza penal, configurando evidente inconstitucionalidade formal. Desse modo, alega que a norma afronta diretamente o pacto federativo e a repartição de competências constitucionais. O partido defende que a imposição de mensagem que "distorce a realidade científica e fomenta o medo" compromete não apenas o direito à informação verídica, mas também a dignidade da pessoa humana e o direito fundamental à saúde, ao afastar mulheres de um cuidado essencial e legalmente assegurado. Além disso, pondera que a imposição do conteúdo dos cartazes configura "verdadeiro constrangimento psicológico, ao induzir sofrimento adicional àquelas que já se encontram em situação de extrema vulnerabilidade". O </w:t>
      </w:r>
      <w:proofErr w:type="spellStart"/>
      <w:r w:rsidR="00EF68A2" w:rsidRPr="007B0B53">
        <w:t>PSol</w:t>
      </w:r>
      <w:proofErr w:type="spellEnd"/>
      <w:r w:rsidR="00EF68A2" w:rsidRPr="007B0B53">
        <w:t xml:space="preserve"> afirma ainda que ao contrário de </w:t>
      </w:r>
      <w:r w:rsidR="00EF68A2" w:rsidRPr="007B0B53">
        <w:lastRenderedPageBreak/>
        <w:t xml:space="preserve">assegurar informações claras e baseadas em evidências, a lei carioca fomenta desinformação, medo e </w:t>
      </w:r>
      <w:proofErr w:type="spellStart"/>
      <w:r w:rsidR="00EF68A2" w:rsidRPr="007B0B53">
        <w:t>estigmatização</w:t>
      </w:r>
      <w:proofErr w:type="spellEnd"/>
      <w:r w:rsidR="00EF68A2" w:rsidRPr="007B0B53">
        <w:t xml:space="preserve">, produzindo efeito diametralmente oposto ao proclamado. "Diante disso, a imposição de tais cartazes viola frontalmente a Constituição, ao disseminar informações falsas e distorcidas, ofender a dignidade humana, comprometer o direito à saúde, violar o direito fundamental à informação correta e aprofundar a violência institucional contra mulheres e meninas em situação de extrema vulnerabilidade", diz o partido em trecho da ação. Por isso, sustenta que, ao impor cartazes com mensagens falsas e moralmente condenatórias nos serviços de saúde, a lei municipal cria barreiras simbólicas e institucionais que desestimulam e intimidam mulheres e meninas a exercerem um direito já assegurado pelo ordenamento jurídico federal. "Ao invés de garantir um ambiente acolhedor, ético e seguro — como exige a legislação e os princípios constitucionais —, a norma municipal desrespeita frontalmente a previsão legal do aborto, obstruindo seu acesso e constrangendo psicologicamente as paciente", afirma. O partido também enfatiza que a lei questionada, ao impor ônus exclusivamente às mulheres, interfere diretamente na autonomia reprodutiva da mulher, dificultando o seu acesso à saúde. Além disso, salienta que as mensagens impostas nos cartazes reforçam estereótipos de gênero e negam o reconhecimento das pessoas que gestam e buscam o aborto legal como sujeitos morais autônomos. "A Lei Municipal 8.936/2025, ao disseminar desinformação e ao impor pressão psicológica sobre mulheres, meninas e pessoas que gestam, atua como instrumento de perpetuação de desigualdades estruturais, fomentando violências simbólicas, institucionais e obstétricas, especialmente contra mulheres negras, indígenas e em situação de vulnerabilidade social", argumenta a sigla. Ao final, além de requerer a declaração integral de inconstitucionalidade da norma, o </w:t>
      </w:r>
      <w:proofErr w:type="spellStart"/>
      <w:r w:rsidR="00EF68A2" w:rsidRPr="007B0B53">
        <w:t>PSol</w:t>
      </w:r>
      <w:proofErr w:type="spellEnd"/>
      <w:r w:rsidR="00EF68A2" w:rsidRPr="007B0B53">
        <w:t xml:space="preserve"> solicitou que a ADPF fosse distribuída por prevenção ao ministro Edson </w:t>
      </w:r>
      <w:proofErr w:type="spellStart"/>
      <w:r w:rsidR="00EF68A2" w:rsidRPr="007B0B53">
        <w:t>Fachin</w:t>
      </w:r>
      <w:proofErr w:type="spellEnd"/>
      <w:r w:rsidR="00EF68A2" w:rsidRPr="007B0B53">
        <w:t xml:space="preserve">, relator da ADPF 989, que demanda que o STF adote providências para assegurar a realização do aborto quando há previsão legal. Luciana </w:t>
      </w:r>
      <w:proofErr w:type="spellStart"/>
      <w:r w:rsidR="00EF68A2" w:rsidRPr="007B0B53">
        <w:t>Boiteux</w:t>
      </w:r>
      <w:proofErr w:type="spellEnd"/>
      <w:r w:rsidR="00EF68A2" w:rsidRPr="007B0B53">
        <w:t>, advogada que representa a sigla na ação, disse ao </w:t>
      </w:r>
      <w:r w:rsidR="00EF68A2" w:rsidRPr="007B0B53">
        <w:rPr>
          <w:rStyle w:val="Forte"/>
          <w:b w:val="0"/>
        </w:rPr>
        <w:t>JOTA</w:t>
      </w:r>
      <w:r w:rsidR="00EF68A2" w:rsidRPr="007B0B53">
        <w:rPr>
          <w:rStyle w:val="Forte"/>
        </w:rPr>
        <w:t> </w:t>
      </w:r>
      <w:r w:rsidR="00EF68A2" w:rsidRPr="007B0B53">
        <w:t xml:space="preserve">que a ADPF visa impedir a proliferação de legislações semelhantes em outras cidades, e reafirmar o papel constitucional do Estado na garantia do direito ao aborto legal, seguro e gratuito. Segundo a advogada, setores "conservadores" estão formulando projetos de lei em várias casas legislativas, baseados em conteúdo idêntico, para atacar e retirar o direito das mulheres, em especial as vítimas de violência, como é o caso dos cartazes. "Nesse caso, uma decisão do Supremo que possa valer para todo o Brasil será muito importante para frear esse processo que está representado nessa lei municipal, aprovada na Câmara e chancelada pelo prefeito Eduardo Paes, mas que, além dos efeitos no Rio de Janeiro, essa lei pode ser reproduzida em outros estados", disse </w:t>
      </w:r>
      <w:proofErr w:type="spellStart"/>
      <w:r w:rsidR="00EF68A2" w:rsidRPr="007B0B53">
        <w:t>Boiteux</w:t>
      </w:r>
      <w:proofErr w:type="spellEnd"/>
      <w:r w:rsidR="00EF68A2" w:rsidRPr="007B0B53">
        <w:t xml:space="preserve">. "Então, é o Supremo, que é o guardião da Constituição, possui essa possibilidade de fazer cessar esse constrangimento que está sendo imposto às mulheres", concluiu. TJRJ suspendeu os efeitos da Lei Municipal 8.936/2025 - Na última quarta-feira (2/7), o desembargador Caetano Ernesto da Fonseca Costa, vice-presidente do Tribunal de Justiça do Estado do Rio de Janeiro (TJRJ), suspendeu a eficácia da lei municipal, em consonância com o que foi estabelecido pela juíza Mirela </w:t>
      </w:r>
      <w:proofErr w:type="spellStart"/>
      <w:r w:rsidR="00EF68A2" w:rsidRPr="007B0B53">
        <w:t>Erbisti</w:t>
      </w:r>
      <w:proofErr w:type="spellEnd"/>
      <w:r w:rsidR="00EF68A2" w:rsidRPr="007B0B53">
        <w:t xml:space="preserve">, da 4ª Vara da Fazenda Pública. Na cautelar, o desembargador considerou existir indícios significativos de ter a legislação extrapolado o âmbito de competência suplementar do município no terreno da Saúde e também no campo do sistema de proteção à infância e juventude (Estatuto da Criança e Adolescente). O magistrado também entendeu que houve indicativo concreto de vício de iniciativa também em face da chefia do Executivo estadual, que tem a iniciativa de "deflagrar processo legislativo que venha a dispor sobre organização e funcionamento da Administração Pública, além da aparente violação do Decreto 4.377/2002 [Convenção sobre Eliminação de Todas as Formas de Discriminação contra a Mulher - CEDAW], desrespeitando princípios essenciais como o da dignidade humana e da proporcionalidade". Na sentença de primeiro grau, a juíza havia determinado em 19 de junho que o município do Rio de Janeiro, em 24 horas, deixasse de afixar nos estabelecimentos de saúde de sua rede própria, independentemente da forma de gestão adotada, as placas ou cartazes de que trata o ato municipal. Também determinou que a capital fluminense deixasse de cobrar o cumprimento das obrigações impostas pela lei aos estabelecimentos de saúde, bem como deixasse de aplicar quaisquer sanções previstas na norma. Em caso de descumprimento da medida, </w:t>
      </w:r>
      <w:proofErr w:type="spellStart"/>
      <w:r w:rsidR="00EF68A2" w:rsidRPr="007B0B53">
        <w:t>Erbisti</w:t>
      </w:r>
      <w:proofErr w:type="spellEnd"/>
      <w:r w:rsidR="00EF68A2" w:rsidRPr="007B0B53">
        <w:t xml:space="preserve"> fixou uma multa diária de R$ 1 mil por estabelecimento de saúde da rede municipal e R$ 1 mil por cobrança ou aplicação de sanção às unidades hospitalares. A ação foi ajuizada pelo Ministério Público do Estado do Rio de Janeiro (</w:t>
      </w:r>
      <w:hyperlink r:id="rId6" w:history="1">
        <w:r w:rsidR="00EF68A2" w:rsidRPr="007B0B53">
          <w:rPr>
            <w:rStyle w:val="Hyperlink"/>
            <w:color w:val="auto"/>
          </w:rPr>
          <w:t>MPRJ</w:t>
        </w:r>
      </w:hyperlink>
      <w:r w:rsidR="00EF68A2" w:rsidRPr="007B0B53">
        <w:t xml:space="preserve">) após a norma municipal ter sido sancionada por Paes, ainda em junho. Nela, o órgão pleiteava o impedimento dos efeitos práticos e o ressarcimento dos danos coletivos decorrentes da aplicação, na Rede de Atenção à Saúde do Rio de Janeiro, da obrigação imposta pela Lei Municipal 8.936/2025. Na ação, o MPRJ afirma que a lei disciplinou assunto que se insere na competência </w:t>
      </w:r>
      <w:r w:rsidR="00EF68A2" w:rsidRPr="007B0B53">
        <w:lastRenderedPageBreak/>
        <w:t>legislativa privativa da União, Direito Civil e Penal, criando não só empecilhos inexistentes ao gozo do direito ao aborto legal, como também ao próprio direito à vida e à dignidade das mulheres, que, em situação de extrema vulnerabilidade psicológica, buscam a realização do aborto legal em casos em que são vítimas de estupro ou, ainda, que se encontram em risco de vida. O MPRJ também defende que as medidas determinadas pela lei impõem um retrocesso às mulheres na busca por acesso à saúde. A ação civil pública tramita com o número 3008320-09.2025.8.19.0001.</w:t>
      </w:r>
    </w:p>
    <w:p w:rsidR="00987F3D" w:rsidRPr="007B0B53" w:rsidRDefault="00987F3D" w:rsidP="009C4FA6">
      <w:pPr>
        <w:pStyle w:val="NormalWeb"/>
        <w:shd w:val="clear" w:color="auto" w:fill="FFFFFF"/>
        <w:spacing w:before="240" w:beforeAutospacing="0" w:after="0" w:afterAutospacing="0"/>
        <w:jc w:val="both"/>
        <w:textAlignment w:val="baseline"/>
      </w:pPr>
      <w:r w:rsidRPr="007B0B53">
        <w:t xml:space="preserve">STF (ADI 7708, in Notícias STF 02.07.2025) STF desobriga compartilhamento de torres por empresas de telecomunicações - </w:t>
      </w:r>
      <w:r w:rsidRPr="007B0B53">
        <w:rPr>
          <w:spacing w:val="-5"/>
        </w:rPr>
        <w:t>Por maioria, Plenário não confirmou decisão liminar do ministro Flávio Dino -</w:t>
      </w:r>
      <w:r w:rsidR="009C4FA6" w:rsidRPr="007B0B53">
        <w:t xml:space="preserve"> </w:t>
      </w:r>
      <w:r w:rsidRPr="007B0B53">
        <w:t>O Supremo Tribunal Federal (STF) decidiu, por maioria, restabelecer a norma que dispensa as empresas de telecomunicações da obrigação de compartilhar torres transmissoras. A decisão foi tomada na análise de liminar na Ação Direta de Inconstitucionalidade </w:t>
      </w:r>
      <w:r w:rsidRPr="007B0B53">
        <w:rPr>
          <w:rStyle w:val="Forte"/>
          <w:rFonts w:eastAsiaTheme="majorEastAsia"/>
          <w:b w:val="0"/>
        </w:rPr>
        <w:t>(ADI) 7708</w:t>
      </w:r>
      <w:r w:rsidRPr="007B0B53">
        <w:t>, na sessão virtual encerrada em 24/6. Por 8 votos a 3, o Plenário não confirmou uma decisão provisória do ministro Flávio Dino, relator da ação.</w:t>
      </w:r>
      <w:r w:rsidR="009C4FA6" w:rsidRPr="007B0B53">
        <w:t xml:space="preserve"> </w:t>
      </w:r>
      <w:r w:rsidRPr="007B0B53">
        <w:t>Na ADI, a Associação Brasileira de Infraestrutura para Telecomunicações (</w:t>
      </w:r>
      <w:proofErr w:type="spellStart"/>
      <w:r w:rsidRPr="007B0B53">
        <w:t>Abrintel</w:t>
      </w:r>
      <w:proofErr w:type="spellEnd"/>
      <w:r w:rsidRPr="007B0B53">
        <w:t>) questiona trecho da Lei 14.173/2021 que revogou um dispositivo de lei de 2009 que obrigava o compartilhamento de torres entre prestadoras de serviços de telecomunicações que utilizassem estações transmissoras de radiocomunicação quando a distância entre elas fosse inferior a 500 metros. Em 18 de setembro do ano passado, Dino suspendeu esse dispositivo por liminar e, por consequência, restabeleceu a norma anterior. Agora, o Plenário manteve a vali</w:t>
      </w:r>
      <w:r w:rsidR="009C4FA6" w:rsidRPr="007B0B53">
        <w:t>dade da alteração legislativa. </w:t>
      </w:r>
      <w:r w:rsidRPr="007B0B53">
        <w:rPr>
          <w:rStyle w:val="Forte"/>
          <w:b w:val="0"/>
          <w:bCs w:val="0"/>
        </w:rPr>
        <w:t>Sem jabuti</w:t>
      </w:r>
      <w:r w:rsidR="009C4FA6" w:rsidRPr="007B0B53">
        <w:rPr>
          <w:rStyle w:val="Forte"/>
          <w:b w:val="0"/>
          <w:bCs w:val="0"/>
        </w:rPr>
        <w:t xml:space="preserve"> -</w:t>
      </w:r>
      <w:r w:rsidRPr="007B0B53">
        <w:rPr>
          <w:rStyle w:val="Forte"/>
          <w:b w:val="0"/>
          <w:bCs w:val="0"/>
        </w:rPr>
        <w:t> </w:t>
      </w:r>
      <w:r w:rsidRPr="007B0B53">
        <w:t>A maioria seguiu a divergência apresentada pelo ministro Luís Roberto Barroso, presidente do Tribunal. Para ele, não houve irregularidade na aprovação da medida pelo Congresso, e o caso não se trata de um “jabuti”. O termo é usado quando há aprovação de uma emenda parlamentar sem relação com o tema debatido na proposta de lei.  A norma que revogou o dever de compartilhamento das torres resultou de um projeto de lei de conversão de uma medida provisória que tratava da desoneração tributária dos serviç</w:t>
      </w:r>
      <w:r w:rsidR="009C4FA6" w:rsidRPr="007B0B53">
        <w:t xml:space="preserve">os de banda larga por satélite. </w:t>
      </w:r>
      <w:r w:rsidRPr="007B0B53">
        <w:t>Barroso também descartou inconstitucionalidades no teor do dispositivo. Conforme o ministro, a revogação faz parte de um conjunto de mudanças legislativas voltadas à expansão da infraestrutura de telecomunicações no contexto da implantação da tecnologia 5G. A seu ver, a imposição de regras rígidas e desatualizadas pode gerar distorções no setor e atrapalhar a sua expansão. Outro ponto rejeitado foi o alega</w:t>
      </w:r>
      <w:r w:rsidR="009C4FA6" w:rsidRPr="007B0B53">
        <w:t xml:space="preserve">do prejuízo ao meio ambiente. </w:t>
      </w:r>
      <w:r w:rsidRPr="007B0B53">
        <w:t xml:space="preserve">Seguiram o voto de Barroso os ministros Gilmar Mendes, Cristiano Zanin, André Mendonça, Alexandre de Moraes, Edson </w:t>
      </w:r>
      <w:proofErr w:type="spellStart"/>
      <w:r w:rsidRPr="007B0B53">
        <w:t>Fachin</w:t>
      </w:r>
      <w:proofErr w:type="spellEnd"/>
      <w:r w:rsidRPr="007B0B53">
        <w:t xml:space="preserve">, </w:t>
      </w:r>
      <w:proofErr w:type="spellStart"/>
      <w:r w:rsidRPr="007B0B53">
        <w:t>Cármen</w:t>
      </w:r>
      <w:proofErr w:type="spellEnd"/>
      <w:r w:rsidRPr="007B0B53">
        <w:t xml:space="preserve"> Lúcia e Luiz </w:t>
      </w:r>
      <w:proofErr w:type="spellStart"/>
      <w:r w:rsidRPr="007B0B53">
        <w:t>Fux</w:t>
      </w:r>
      <w:proofErr w:type="spellEnd"/>
      <w:r w:rsidRPr="007B0B53">
        <w:t>. </w:t>
      </w:r>
      <w:r w:rsidR="009C4FA6" w:rsidRPr="007B0B53">
        <w:rPr>
          <w:rStyle w:val="Forte"/>
          <w:b w:val="0"/>
          <w:bCs w:val="0"/>
        </w:rPr>
        <w:t xml:space="preserve">Relator - </w:t>
      </w:r>
      <w:r w:rsidRPr="007B0B53">
        <w:t xml:space="preserve">Ficaram vencidos o relator, Flávio Dino, e os ministros Dias </w:t>
      </w:r>
      <w:proofErr w:type="spellStart"/>
      <w:r w:rsidRPr="007B0B53">
        <w:t>Toffoli</w:t>
      </w:r>
      <w:proofErr w:type="spellEnd"/>
      <w:r w:rsidRPr="007B0B53">
        <w:t xml:space="preserve"> e Nunes Marques. Para Dino, a revogação do compartilhamento provoca um grave retrocesso socioambiental, porque tende a multiplicar as infraestruturas de solo, causando impactos urbanísticos, paisagísticos e ambientais.</w:t>
      </w:r>
    </w:p>
    <w:p w:rsidR="001B16CD" w:rsidRPr="007B0B53" w:rsidRDefault="00EF68A2" w:rsidP="001B16CD">
      <w:pPr>
        <w:pStyle w:val="NormalWeb"/>
        <w:shd w:val="clear" w:color="auto" w:fill="FFFFFF"/>
        <w:spacing w:before="240" w:beforeAutospacing="0" w:after="0" w:afterAutospacing="0"/>
        <w:jc w:val="both"/>
        <w:textAlignment w:val="baseline"/>
      </w:pPr>
      <w:r w:rsidRPr="007B0B53">
        <w:t xml:space="preserve">STF </w:t>
      </w:r>
      <w:r w:rsidR="001B16CD" w:rsidRPr="007B0B53">
        <w:t xml:space="preserve">(ADI 7834, in Jota Jornal 24.06.2025) </w:t>
      </w:r>
      <w:r w:rsidR="001B16CD" w:rsidRPr="007B0B53">
        <w:rPr>
          <w:rStyle w:val="sc-cdd47be7-0"/>
          <w:bCs/>
          <w:caps/>
        </w:rPr>
        <w:t>Gás natural -</w:t>
      </w:r>
      <w:r w:rsidR="001B16CD" w:rsidRPr="007B0B53">
        <w:rPr>
          <w:rStyle w:val="sc-cdd47be7-0"/>
          <w:b/>
          <w:bCs/>
          <w:caps/>
        </w:rPr>
        <w:t xml:space="preserve"> </w:t>
      </w:r>
      <w:proofErr w:type="spellStart"/>
      <w:r w:rsidR="001B16CD" w:rsidRPr="007B0B53">
        <w:t>Abpip</w:t>
      </w:r>
      <w:proofErr w:type="spellEnd"/>
      <w:r w:rsidR="001B16CD" w:rsidRPr="007B0B53">
        <w:t xml:space="preserve"> aciona STF contra lei maranhense que regula a exploração local de gás canalizado - </w:t>
      </w:r>
      <w:r w:rsidR="001B16CD" w:rsidRPr="007B0B53">
        <w:rPr>
          <w:bCs/>
        </w:rPr>
        <w:t>Entidade diz que estado usurpou a competência da União para legislar sobre comercialização de gás aos consumidores livres -</w:t>
      </w:r>
      <w:r w:rsidR="001B16CD" w:rsidRPr="007B0B53">
        <w:t xml:space="preserve"> A Associação Brasileira dos Produtores Independentes de Petróleo e Gás (</w:t>
      </w:r>
      <w:proofErr w:type="spellStart"/>
      <w:r w:rsidR="001B16CD" w:rsidRPr="007B0B53">
        <w:t>Abpip</w:t>
      </w:r>
      <w:proofErr w:type="spellEnd"/>
      <w:r w:rsidR="001B16CD" w:rsidRPr="007B0B53">
        <w:t xml:space="preserve">) ingressou com uma Ação Direta de Inconstitucionalidade (ADI) no Supremo Tribunal Federal (STF) questionando 32 dispositivos da Lei Estadual 12.505/2025, do Maranhão, que versa sobre a exploração dos serviços locais de gás canalizado no território. A ADI 7834 foi sorteada ao ministro Edson </w:t>
      </w:r>
      <w:proofErr w:type="spellStart"/>
      <w:r w:rsidR="001B16CD" w:rsidRPr="007B0B53">
        <w:t>Fachin</w:t>
      </w:r>
      <w:proofErr w:type="spellEnd"/>
      <w:r w:rsidR="001B16CD" w:rsidRPr="007B0B53">
        <w:t xml:space="preserve">. Na ação, a entidade argumenta que, a pretexto de regular a exploração dos serviços locais de gás canalizado no estado, o Maranhão ultrapassou os limites de sua competência constitucional. Além disso, alega que o estado usurpou a competência da União para legislar sobre, dentre outras matérias, a comercialização de gás aos consumidores livres e a movimentação desse hidrocarboneto por modais alternativos ao </w:t>
      </w:r>
      <w:proofErr w:type="spellStart"/>
      <w:r w:rsidR="001B16CD" w:rsidRPr="007B0B53">
        <w:t>dutoviário</w:t>
      </w:r>
      <w:proofErr w:type="spellEnd"/>
      <w:r w:rsidR="001B16CD" w:rsidRPr="007B0B53">
        <w:t xml:space="preserve">. Também afirma que, em cerca de 30 de seus dispositivos, a norma maranhense indevidamente estabelece normas gerais sobre o mercado de gás de modo incompatível à legislação federal. Segundo a </w:t>
      </w:r>
      <w:proofErr w:type="spellStart"/>
      <w:r w:rsidR="001B16CD" w:rsidRPr="007B0B53">
        <w:t>Abpip</w:t>
      </w:r>
      <w:proofErr w:type="spellEnd"/>
      <w:r w:rsidR="001B16CD" w:rsidRPr="007B0B53">
        <w:t xml:space="preserve">, a lei do Maranhão impõe condicionantes à comercialização de gás natural, mesmo quando o sistema de distribuição da concessionária estadual não é utilizado, bem como institui "sérias restrições" para atividades de acondicionamento e movimentação de gás natural comprimido (GNC) e de gás natural liquefeito (GNL), feitas por modais alternativos ao </w:t>
      </w:r>
      <w:proofErr w:type="spellStart"/>
      <w:r w:rsidR="001B16CD" w:rsidRPr="007B0B53">
        <w:t>dutoviário</w:t>
      </w:r>
      <w:proofErr w:type="spellEnd"/>
      <w:r w:rsidR="001B16CD" w:rsidRPr="007B0B53">
        <w:t xml:space="preserve">. Diz a associação que a norma do Maranhão não apenas "desvia-se diametralmente das recentes políticas públicas para desestatização e liberação do mercado de gás natural, expressamente positivadas na Lei 14.134/2021", como também resulta em sobreposição legislativa, desencadeando séria insegurança jurídica para o mercado brasileiro de gás natural, que demanda investimentos expressivos para crescer em âmbito nacional. Por isso, sustenta que a lei estadual </w:t>
      </w:r>
      <w:r w:rsidR="001B16CD" w:rsidRPr="007B0B53">
        <w:lastRenderedPageBreak/>
        <w:t xml:space="preserve">está maculada por vícios de inconstitucionalidade formal, devido à usurpação da competência da União, em violação direta às normas de competência estabelecidas pela Constituição, e material, em virtude da violação aos princípios da livre iniciativa, da livre concorrência e da isonomia. De acordo com a </w:t>
      </w:r>
      <w:proofErr w:type="spellStart"/>
      <w:r w:rsidR="001B16CD" w:rsidRPr="007B0B53">
        <w:t>Abpip</w:t>
      </w:r>
      <w:proofErr w:type="spellEnd"/>
      <w:r w:rsidR="001B16CD" w:rsidRPr="007B0B53">
        <w:t xml:space="preserve">, as inconstitucionalidades da norma são comprometedoras para o avanço do mercado de gás no país, pois no Maranhão encontram-se a Bacia de Parnaíba, a segunda maior bacia de gás natural terrestre do país; a margem equatorial, nova fronteira de exploração de petróleo e gás natural, sobre a qual há grande expectativa de investimentos futuros no mercado de petróleo e gás natural; e o projeto de "Corredor Verde" para transportar GNL de Santos (SP) para São Luís (MA) por rodovias, com investimentos totais de R$ 5,7 bilhões para impulsionar o uso de GNL no transporte rodoviário e contribuir para a transição energética. "Além disso, é oportuno destacar que o Maranhão é estatisticamente o estado mais pobre do Brasil, reforçando a relevância da indústria (participações e incentivos governamentais, investimentos, empregos e renda – todos comprometidos pela lei do Maranhão) para o desenvolvimento socioeconômico do estado", afirma a entidade, que é representada pelos advogados </w:t>
      </w:r>
      <w:proofErr w:type="spellStart"/>
      <w:r w:rsidR="001B16CD" w:rsidRPr="007B0B53">
        <w:t>Luis</w:t>
      </w:r>
      <w:proofErr w:type="spellEnd"/>
      <w:r w:rsidR="001B16CD" w:rsidRPr="007B0B53">
        <w:t xml:space="preserve"> Inácio Lucena Adams, Fábio Peixinho Gomes Corrêa, Tiago do Monte Macedo, Mauro Pedroso Gonçalves,  Camila de Figueiredo Pinho,  Louise Dias Portes, João Marcelo Xavier Rodrigues e Carolina Marcondes Fraga – do </w:t>
      </w:r>
      <w:proofErr w:type="spellStart"/>
      <w:r w:rsidR="001B16CD" w:rsidRPr="007B0B53">
        <w:t>Tauil</w:t>
      </w:r>
      <w:proofErr w:type="spellEnd"/>
      <w:r w:rsidR="001B16CD" w:rsidRPr="007B0B53">
        <w:t xml:space="preserve"> &amp; </w:t>
      </w:r>
      <w:proofErr w:type="spellStart"/>
      <w:r w:rsidR="001B16CD" w:rsidRPr="007B0B53">
        <w:t>Chequer</w:t>
      </w:r>
      <w:proofErr w:type="spellEnd"/>
      <w:r w:rsidR="001B16CD" w:rsidRPr="007B0B53">
        <w:t xml:space="preserve"> Advogados. Na ADI, a </w:t>
      </w:r>
      <w:proofErr w:type="spellStart"/>
      <w:r w:rsidR="001B16CD" w:rsidRPr="007B0B53">
        <w:t>Abpip</w:t>
      </w:r>
      <w:proofErr w:type="spellEnd"/>
      <w:r w:rsidR="001B16CD" w:rsidRPr="007B0B53">
        <w:t xml:space="preserve"> destaca ainda que a Lei do Gás (</w:t>
      </w:r>
      <w:hyperlink r:id="rId7" w:history="1">
        <w:r w:rsidR="001B16CD" w:rsidRPr="007B0B53">
          <w:rPr>
            <w:rStyle w:val="Hyperlink"/>
            <w:color w:val="auto"/>
          </w:rPr>
          <w:t>14.134/2021</w:t>
        </w:r>
      </w:hyperlink>
      <w:r w:rsidR="001B16CD" w:rsidRPr="007B0B53">
        <w:t xml:space="preserve">) reforçou a competência da União para dispor sobre as atividades de transporte, processamento, estocagem subterrânea, acondicionamento, liquefação, </w:t>
      </w:r>
      <w:proofErr w:type="spellStart"/>
      <w:r w:rsidR="001B16CD" w:rsidRPr="007B0B53">
        <w:t>regaseificação</w:t>
      </w:r>
      <w:proofErr w:type="spellEnd"/>
      <w:r w:rsidR="001B16CD" w:rsidRPr="007B0B53">
        <w:t xml:space="preserve"> e comercialização de gás natural, bem como a da Agência Nacional do Petróleo, Gás Natural e Biocombustíveis (</w:t>
      </w:r>
      <w:hyperlink r:id="rId8" w:history="1">
        <w:r w:rsidR="001B16CD" w:rsidRPr="007B0B53">
          <w:rPr>
            <w:rStyle w:val="Hyperlink"/>
            <w:color w:val="auto"/>
          </w:rPr>
          <w:t>ANP</w:t>
        </w:r>
      </w:hyperlink>
      <w:r w:rsidR="001B16CD" w:rsidRPr="007B0B53">
        <w:t xml:space="preserve">) para regular “o exercício da atividade de acondicionamento para transporte e comercialização de gás natural ao consumidor final por meio de modais alternativos ao </w:t>
      </w:r>
      <w:proofErr w:type="spellStart"/>
      <w:r w:rsidR="001B16CD" w:rsidRPr="007B0B53">
        <w:t>dutoviário</w:t>
      </w:r>
      <w:proofErr w:type="spellEnd"/>
      <w:r w:rsidR="001B16CD" w:rsidRPr="007B0B53">
        <w:t xml:space="preserve">”. Desse modo, reitera que a lei do Maranhão contraria as diretrizes atuais do setor para a abertura do mercado de gás, pois estabelece normas em desarmonia com a legislação federal, bem como expande indevidamente o monopólio estatal, comprometendo, assim, a livre iniciativa, a livre concorrência e a isonomia. Aponta, ainda, não ser razoável que existam regras adicionais no Maranhão e distintas do que prevê a legislação federal, pois isso, além de romper com a necessária harmonização nas regras relativas à comercialização e movimentação de GNL e GNC por modais alternativos ao </w:t>
      </w:r>
      <w:proofErr w:type="spellStart"/>
      <w:r w:rsidR="001B16CD" w:rsidRPr="007B0B53">
        <w:t>dutoviário</w:t>
      </w:r>
      <w:proofErr w:type="spellEnd"/>
      <w:r w:rsidR="001B16CD" w:rsidRPr="007B0B53">
        <w:t xml:space="preserve">, acrescenta uma diferença entre as empresas que atuam nesse mercado no território maranhense em relação aos outros entes federativos da União. A associação enfatiza que a norma questionada cria externalidades negativas que trazem um impacto sistêmico para o Maranhão em um momento crítico de expansão do mercado de gás. Também diz que a aplicação dessa lei, em vigor desde 13 de março, provoca interferência indevida em mercados regulados pela ANP, causando insegurança jurídica aos agentes econômicos, desestimulando investimentos e afetando a livre iniciativa, com prejuízos diretos à economia local e nacional, justamente quando se fazem necessários "recursos vultosos para a expansão desse mercado". "Ao legislar sobre tema de competência federal, o Maranhão compromete a coerência normativa do setor energético brasileiro, que depende de diretrizes unificadas para garantir segurança jurídica e operacional nas diversas unidades federativas", destaca a </w:t>
      </w:r>
      <w:proofErr w:type="spellStart"/>
      <w:r w:rsidR="001B16CD" w:rsidRPr="007B0B53">
        <w:t>Abpip</w:t>
      </w:r>
      <w:proofErr w:type="spellEnd"/>
      <w:r w:rsidR="001B16CD" w:rsidRPr="007B0B53">
        <w:t>. Em outro trecho da ação, a entidade aponta que a multiplicação de leis estaduais sobre a matéria, com estruturas regulamentares distintas, cria, além da insegurança jurídica manifesta no âmbito desse mercado, grave desequilíbrio no pacto federativo. Assim, menciona que existem quatro outras leis nessa seara, que dispõem sobre normas relativas à exploração direta ou mediante concessão dos serviços locais de gás canalizado em seus respectivos estados. São elas as Leis 17.897/2022 (Ceará), 12.142/2021(Paraíba), 17.641/2022 (Pernambuco) e 11.190/2022 (Rio Grande do Norte). A associação defende que a suspensão imediata dos efeitos da norma do Maranhão terá cunho educativo para evitar a proliferação de normas inconstitucionais, servindo para demonstrar aos poderes Legislativos estaduais que a aprovação de Projetos de Lei de teor semelhante ao da legislação maranhense também terá como consequência a declaração da sua inconstitucionalidade, com a retirada do ordenamento jurídico destas normas.</w:t>
      </w:r>
    </w:p>
    <w:p w:rsidR="00A0238D" w:rsidRPr="007B0B53" w:rsidRDefault="001B16CD" w:rsidP="00A0238D">
      <w:pPr>
        <w:pStyle w:val="NormalWeb"/>
        <w:shd w:val="clear" w:color="auto" w:fill="FFFFFF"/>
        <w:spacing w:before="240" w:beforeAutospacing="0" w:after="0" w:afterAutospacing="0"/>
        <w:jc w:val="both"/>
        <w:textAlignment w:val="baseline"/>
      </w:pPr>
      <w:r w:rsidRPr="007B0B53">
        <w:t xml:space="preserve">STF </w:t>
      </w:r>
      <w:r w:rsidR="008B3E3B" w:rsidRPr="007B0B53">
        <w:t>(</w:t>
      </w:r>
      <w:r w:rsidR="00A0238D" w:rsidRPr="007B0B53">
        <w:t>ADPF 1238, in Notícias STF 23</w:t>
      </w:r>
      <w:r w:rsidR="00D963E1" w:rsidRPr="007B0B53">
        <w:t xml:space="preserve">.06.2025) </w:t>
      </w:r>
      <w:r w:rsidR="00A0238D" w:rsidRPr="007B0B53">
        <w:t xml:space="preserve">Federação de guardas municipais entra no STF contra lei que criou divisão armada na GM-Rio - </w:t>
      </w:r>
      <w:r w:rsidR="00A0238D" w:rsidRPr="007B0B53">
        <w:rPr>
          <w:spacing w:val="-5"/>
        </w:rPr>
        <w:t>Entidade alega que norma fere exigências para ingresso no serviço público e amplia acesso a porte de armas de forma irregular -</w:t>
      </w:r>
      <w:r w:rsidR="00A0238D" w:rsidRPr="007B0B53">
        <w:t xml:space="preserve"> A Federação Nacional de Sindicatos de Servidores das Guardas Municipais (</w:t>
      </w:r>
      <w:proofErr w:type="spellStart"/>
      <w:r w:rsidR="00A0238D" w:rsidRPr="007B0B53">
        <w:t>Fenaguardas</w:t>
      </w:r>
      <w:proofErr w:type="spellEnd"/>
      <w:r w:rsidR="00A0238D" w:rsidRPr="007B0B53">
        <w:t>) acionou o Supremo Tribunal Federal (STF) contra trechos da lei que criou uma divisão armada na Guarda Municipal do Rio de Janeiro (GM-Rio). Na Arguição de Descumprimento de Preceito Fundamental </w:t>
      </w:r>
      <w:r w:rsidR="00A0238D" w:rsidRPr="007B0B53">
        <w:rPr>
          <w:rStyle w:val="Forte"/>
          <w:rFonts w:eastAsiaTheme="majorEastAsia"/>
          <w:b w:val="0"/>
        </w:rPr>
        <w:t>(ADPF) 1238</w:t>
      </w:r>
      <w:r w:rsidR="00A0238D" w:rsidRPr="007B0B53">
        <w:t xml:space="preserve">, a entidade afirma que a norma carioca viola a Constituição. A Lei Complementar municipal 282/2025, sancionada este mês, autoriza </w:t>
      </w:r>
      <w:r w:rsidR="00A0238D" w:rsidRPr="007B0B53">
        <w:lastRenderedPageBreak/>
        <w:t xml:space="preserve">que a chamada “divisão de elite” da GM-Rio seja formada por funcionários temporários, vinculados ou não à corporação, com direito a porte de arma de fogo. O texto também institui o cargo de confiança de gestor de Segurança Pública Municipal ― que a autora da ADPF alega ser similar a outro já existente. Para a </w:t>
      </w:r>
      <w:proofErr w:type="spellStart"/>
      <w:r w:rsidR="00A0238D" w:rsidRPr="007B0B53">
        <w:t>Fenaguardas</w:t>
      </w:r>
      <w:proofErr w:type="spellEnd"/>
      <w:r w:rsidR="00A0238D" w:rsidRPr="007B0B53">
        <w:t xml:space="preserve">, a norma fere as exigências constitucionais para ingresso no serviço público, desrespeita critérios para ocupação de cargos de chefia, desvirtua as competências próprias das guardas municipais e amplia, de forma irregular, o acesso ao porte de arma de fogo sem respaldo legal. A entidade pede que o STF reserve a divisão especial a concursados, derrube o cargo de gestor, proíba o porte de arma para temporários e barre contratações sem concurso público para funções típicas de Estado. Também quer que o Supremo fixe o entendimento de que as atividades das guardas municipais devem ser exercidas por cargos criados e preenchidos por concurso. A ADPF 1238 foi distribuída ao ministro Edson </w:t>
      </w:r>
      <w:proofErr w:type="spellStart"/>
      <w:r w:rsidR="00A0238D" w:rsidRPr="007B0B53">
        <w:t>Fachin</w:t>
      </w:r>
      <w:proofErr w:type="spellEnd"/>
      <w:r w:rsidR="00A0238D" w:rsidRPr="007B0B53">
        <w:t>.</w:t>
      </w:r>
    </w:p>
    <w:p w:rsidR="008B3E3B" w:rsidRPr="007B0B53" w:rsidRDefault="00A0238D" w:rsidP="008B3E3B">
      <w:pPr>
        <w:pStyle w:val="NormalWeb"/>
        <w:shd w:val="clear" w:color="auto" w:fill="FFFFFF"/>
        <w:spacing w:before="240" w:beforeAutospacing="0" w:after="0" w:afterAutospacing="0"/>
        <w:jc w:val="both"/>
        <w:textAlignment w:val="baseline"/>
      </w:pPr>
      <w:r w:rsidRPr="007B0B53">
        <w:t xml:space="preserve">STF (Rcl 58207, in Notícias STF 18.06.2025) </w:t>
      </w:r>
      <w:r w:rsidR="008B3E3B" w:rsidRPr="007B0B53">
        <w:t xml:space="preserve">No STF, governo e Justiça de SP definem medidas contra superlotação de unidade prisional - </w:t>
      </w:r>
      <w:r w:rsidR="008B3E3B" w:rsidRPr="007B0B53">
        <w:rPr>
          <w:spacing w:val="-5"/>
        </w:rPr>
        <w:t>Em audiência, órgãos do Executivo e do Judiciário de SP se comprometeram a adotar medidas para manter a população carcerária do CPP de Pacaembu abaixo de 137,5% -</w:t>
      </w:r>
      <w:r w:rsidR="008B3E3B" w:rsidRPr="007B0B53">
        <w:t xml:space="preserve"> Órgãos do governo e da Justiça do Estado de São Paulo definiram, nesta quarta-feira (18), as medidas que vão adotar para reduzir a superlotação do Centro de Progressão Penitenciária de Pacaembu, em Presidente Prudente, numa audiência de contextualização no Supremo Tribunal Federal (STF).  Os compromissos foram firmados no âmbito da Reclamação </w:t>
      </w:r>
      <w:r w:rsidR="008B3E3B" w:rsidRPr="007B0B53">
        <w:rPr>
          <w:rStyle w:val="Forte"/>
          <w:rFonts w:eastAsiaTheme="majorEastAsia"/>
          <w:b w:val="0"/>
        </w:rPr>
        <w:t>(RCL) 58207</w:t>
      </w:r>
      <w:r w:rsidR="008B3E3B" w:rsidRPr="007B0B53">
        <w:t xml:space="preserve">. A Secretaria de Administração Penitenciária do Estado de São Paulo (SAP) se comprometeu a melhorar o controle diário da lotação da unidade prisional e automatizar o envio das informações aos órgãos competentes. O relatório, a ser enviado por e-mail, vai destacar quando o número de presos passar da capacidade máxima e incluir os casos de detentos que devem ir para o semiaberto. O Tribunal de Justiça (TJ-SP), por sua vez, se comprometeu, entre outras medidas, a analisar o documento todos os dias. Além disso, os juízes deverão indicar em qual unidade o preso em regime semiaberto deverá se apresentar, com base nos índices de lotação dos presídios. A medida busca evitar a concentração de detentos em uma só unidade. As medidas atendem às normas previstas pelo programa Pena Justa, que estabeleceu mais de 300 metas a serem alcançadas pelo poder público para promover melhorias e combater as violações sistemáticas de direitos humanos no sistema carcerário brasileiro. O prazo para que as penitenciárias se adequem é 2027. </w:t>
      </w:r>
      <w:r w:rsidR="008B3E3B" w:rsidRPr="007B0B53">
        <w:rPr>
          <w:rStyle w:val="Forte"/>
          <w:b w:val="0"/>
          <w:bCs w:val="0"/>
        </w:rPr>
        <w:t>Superlotação -</w:t>
      </w:r>
      <w:r w:rsidR="008B3E3B" w:rsidRPr="007B0B53">
        <w:t xml:space="preserve"> A RCL 58207 é de autoria da Defensoria Pública paulista e está sob a relatoria do ministro Edson </w:t>
      </w:r>
      <w:proofErr w:type="spellStart"/>
      <w:r w:rsidR="008B3E3B" w:rsidRPr="007B0B53">
        <w:t>Fachin</w:t>
      </w:r>
      <w:proofErr w:type="spellEnd"/>
      <w:r w:rsidR="008B3E3B" w:rsidRPr="007B0B53">
        <w:t xml:space="preserve">. Nela, o órgão pede que o STF intervenha para solucionar a superlotação da Penitenciária de Pacaembu. Segundo os autos, o índice de ocupação na unidade é de quase 150%. A audiência desta quarta foi realizada para acompanhar o cumprimento de decisão do STF que, em 2024, deu prazo ao juiz responsável pela execução penal em Presidente Prudente para reduzir a lotação do Centro de Progressão Penitenciária de Pacaembu a no máximo 137,5%. Além de representantes do governo e da Justiça de São Paulo, participaram da reunião juízes auxiliares do ministro </w:t>
      </w:r>
      <w:proofErr w:type="spellStart"/>
      <w:r w:rsidR="008B3E3B" w:rsidRPr="007B0B53">
        <w:t>Fachin</w:t>
      </w:r>
      <w:proofErr w:type="spellEnd"/>
      <w:r w:rsidR="008B3E3B" w:rsidRPr="007B0B53">
        <w:t xml:space="preserve"> e do presidente do STF, ministro Luís Roberto Barroso, integrantes do Núcleo de Solução Consensual de Conflitos (</w:t>
      </w:r>
      <w:proofErr w:type="spellStart"/>
      <w:r w:rsidR="008B3E3B" w:rsidRPr="007B0B53">
        <w:t>Nusol</w:t>
      </w:r>
      <w:proofErr w:type="spellEnd"/>
      <w:r w:rsidR="008B3E3B" w:rsidRPr="007B0B53">
        <w:t>) da Corte e representantes da Procuradoria-Geral da República (PGR) e do governo federal.</w:t>
      </w:r>
    </w:p>
    <w:p w:rsidR="00B04127" w:rsidRPr="007B0B53" w:rsidRDefault="00B04127" w:rsidP="00B04127">
      <w:pPr>
        <w:pStyle w:val="NormalWeb"/>
        <w:shd w:val="clear" w:color="auto" w:fill="FFFFFF"/>
        <w:spacing w:before="240" w:beforeAutospacing="0" w:after="0" w:afterAutospacing="0"/>
        <w:jc w:val="both"/>
        <w:textAlignment w:val="baseline"/>
      </w:pPr>
      <w:r w:rsidRPr="007B0B53">
        <w:t xml:space="preserve">STF (Rcl 68709, in Notícias STF 17.06.2025) STF pede informações sobre efeitos colaterais do medicamento </w:t>
      </w:r>
      <w:proofErr w:type="spellStart"/>
      <w:r w:rsidRPr="007B0B53">
        <w:t>Elevidys</w:t>
      </w:r>
      <w:proofErr w:type="spellEnd"/>
      <w:r w:rsidRPr="007B0B53">
        <w:t xml:space="preserve"> - </w:t>
      </w:r>
      <w:r w:rsidRPr="007B0B53">
        <w:rPr>
          <w:spacing w:val="-5"/>
        </w:rPr>
        <w:t>Ministro Gilmar Mendes solicitou explicações após relato de morte de dois pacientes estrangeiros após aplicação do medicamento -</w:t>
      </w:r>
      <w:r w:rsidRPr="007B0B53">
        <w:t xml:space="preserve"> O ministro Gilmar Mendes, decano do Supremo Tribunal Federal (STF), pediu informações nesta segunda-feira (16) ao Ministério da Saúde, à Agência Nacional de Vigilância Sanitária (Anvisa) e à farmacêutica Roche Brasil sobre a gravidade dos efeitos colaterais do medicamento </w:t>
      </w:r>
      <w:proofErr w:type="spellStart"/>
      <w:r w:rsidRPr="007B0B53">
        <w:t>Elevidys</w:t>
      </w:r>
      <w:proofErr w:type="spellEnd"/>
      <w:r w:rsidRPr="007B0B53">
        <w:t xml:space="preserve">, indicado para tratamento da Distrofia Muscular de </w:t>
      </w:r>
      <w:proofErr w:type="spellStart"/>
      <w:r w:rsidRPr="007B0B53">
        <w:t>Duchenne</w:t>
      </w:r>
      <w:proofErr w:type="spellEnd"/>
      <w:r w:rsidRPr="007B0B53">
        <w:t xml:space="preserve">. O despacho foi proferido após relatos de morte por insuficiência hepática de dois pacientes estrangeiros não deambulantes (sem capacidade de andar) e de uma criança brasileira que teve seu quadro de saúde afetado por complicações gripais após o uso do </w:t>
      </w:r>
      <w:proofErr w:type="spellStart"/>
      <w:r w:rsidRPr="007B0B53">
        <w:t>Elevidys</w:t>
      </w:r>
      <w:proofErr w:type="spellEnd"/>
      <w:r w:rsidRPr="007B0B53">
        <w:t xml:space="preserve">. Além disso, também foi noticiado que a Roche suspendeu o uso da medicação para pacientes de todas as idades não-deambulantes. Em despacho, o ministro Gilmar Mendes questiona se houve alteração da classificação de segurança para o uso do </w:t>
      </w:r>
      <w:proofErr w:type="spellStart"/>
      <w:r w:rsidRPr="007B0B53">
        <w:t>Elevidys</w:t>
      </w:r>
      <w:proofErr w:type="spellEnd"/>
      <w:r w:rsidRPr="007B0B53">
        <w:t xml:space="preserve"> em pacientes menores de oito anos, idade em que o medicamento foi aprovado pela Anvisa no Brasil. O relator também quer saber se há informações sobre efeitos colaterais graves e permanentes em crianças que receberam o tratamento no Brasil e, em caso afirmativo, qual a frequência, os seus efeitos e o nível de comprovação da relação destes efeitos adversos com a infusão do medicamento. O ministro também requer informações sobre a extensão da suspensão determinada pela Roche.</w:t>
      </w:r>
    </w:p>
    <w:p w:rsidR="00224E1B" w:rsidRPr="007B0B53" w:rsidRDefault="008B3E3B" w:rsidP="00224E1B">
      <w:pPr>
        <w:pStyle w:val="NormalWeb"/>
        <w:shd w:val="clear" w:color="auto" w:fill="FFFFFF"/>
        <w:spacing w:before="240" w:beforeAutospacing="0" w:after="0" w:afterAutospacing="0"/>
        <w:jc w:val="both"/>
        <w:textAlignment w:val="baseline"/>
      </w:pPr>
      <w:r w:rsidRPr="007B0B53">
        <w:lastRenderedPageBreak/>
        <w:t>STF (ADI 7561, in Notícias STF 16.06.2025</w:t>
      </w:r>
      <w:r w:rsidR="00944530" w:rsidRPr="007B0B53">
        <w:t xml:space="preserve"> e Informativo STF 1181</w:t>
      </w:r>
      <w:r w:rsidRPr="007B0B53">
        <w:t xml:space="preserve">) </w:t>
      </w:r>
      <w:r w:rsidR="00224E1B" w:rsidRPr="007B0B53">
        <w:rPr>
          <w:u w:val="single"/>
        </w:rPr>
        <w:t>Notícias</w:t>
      </w:r>
      <w:r w:rsidR="00224E1B" w:rsidRPr="007B0B53">
        <w:t xml:space="preserve">: </w:t>
      </w:r>
      <w:r w:rsidR="00D963E1" w:rsidRPr="007B0B53">
        <w:t xml:space="preserve">STF permite inclusão de estudantes de colégios militares no sistema de cotas - </w:t>
      </w:r>
      <w:r w:rsidR="00D963E1" w:rsidRPr="007B0B53">
        <w:rPr>
          <w:spacing w:val="-5"/>
        </w:rPr>
        <w:t>Decisão abrange reserva de vagas em universidades e instituições federais de ensino para estudantes da rede pública -</w:t>
      </w:r>
      <w:r w:rsidR="00D963E1" w:rsidRPr="007B0B53">
        <w:t xml:space="preserve"> O Supremo Tribunal Federal (STF) concluiu que estudantes de colégios militares podem disputar vagas reservadas a estudantes de escolas públicas em universidades federais e instituições federais de ensino técnico de nível médio. A decisão, por unanimidade, foi tomada no julgamento da Ação Direta de Inconstitucionalidade </w:t>
      </w:r>
      <w:r w:rsidR="00D963E1" w:rsidRPr="007B0B53">
        <w:rPr>
          <w:rStyle w:val="Forte"/>
          <w:rFonts w:eastAsiaTheme="majorEastAsia"/>
          <w:b w:val="0"/>
        </w:rPr>
        <w:t>(ADI) 7561</w:t>
      </w:r>
      <w:r w:rsidR="00D963E1" w:rsidRPr="007B0B53">
        <w:t>, na sessão virtual concluída em 13/6. A Procuradoria-Geral da República (PGR), autora da ação, argumentava, entre outros pontos, que os colégios militares não estariam classificados como escolas públicas e, portanto, alunos dessas instituições não estariam contemplados pela Lei de Cotas. Em seu voto, o relator, ministro Gilmar Mendes, observou que, apesar de estarem sujeitos ao Sistema de Ensino do Exército, os colégios militares têm natureza pública já reconhecida pela Suprema Corte. Ele lembrou que as vagas da cota são disputadas apenas pelos candidatos que não se classificam na ampla concorrência, e a reserva é dividida em duas partes: 25% das vagas gerais são destinadas a alunos de escolas públicas provenientes de famílias com renda igual ou inferior a um salário mínimo, e outros 25% são reservados a alunos de escolas públicas genericamente.</w:t>
      </w:r>
      <w:r w:rsidR="00224E1B" w:rsidRPr="007B0B53">
        <w:t xml:space="preserve"> </w:t>
      </w:r>
      <w:r w:rsidR="00224E1B" w:rsidRPr="007B0B53">
        <w:rPr>
          <w:u w:val="single"/>
        </w:rPr>
        <w:t>Informativo</w:t>
      </w:r>
      <w:r w:rsidR="00224E1B" w:rsidRPr="007B0B53">
        <w:t xml:space="preserve">: DIREITO ADMINISTRATIVO – EDUCAÇÃO; ENSINO SUPERIOR E TÉCNICO; PROCESSO SELETIVO DE INGRESSO; RESERVA DE VAGAS; COLÉGIOS MILITARES; NATUREZA JURÍDICA DE ESCOLA PÚBLICA – </w:t>
      </w:r>
      <w:r w:rsidR="00224E1B" w:rsidRPr="007B0B53">
        <w:rPr>
          <w:bCs/>
          <w:iCs/>
        </w:rPr>
        <w:t xml:space="preserve">Estudantes egressos de colégios militares: reserva de vagas em instituições federais de ensino superior e técnico – </w:t>
      </w:r>
      <w:r w:rsidR="00224E1B" w:rsidRPr="007B0B53">
        <w:rPr>
          <w:bCs/>
        </w:rPr>
        <w:t xml:space="preserve">É constitucional — em especial porque não viola os critérios objetivos da política pública de cotas nem desvirtua o conceito de escola pública — a inclusão de egressos de colégios militares nas vagas reservadas a estudantes oriundos da rede pública de ensino. </w:t>
      </w:r>
      <w:r w:rsidR="00224E1B" w:rsidRPr="007B0B53">
        <w:t>A Lei nº 12.711/2012, que institui o sistema de reserva de vagas em instituições federais de ensino superior e técnico de nível médio, estabelece como critério objetivo a conclusão integral do ensino médio ou fundamental em escolas públicas. Conforme jurisprudência desta Corte [</w:t>
      </w:r>
      <w:r w:rsidR="00224E1B" w:rsidRPr="007B0B53">
        <w:rPr>
          <w:sz w:val="20"/>
          <w:szCs w:val="20"/>
        </w:rPr>
        <w:t>Precedente citado: ADI 5.082</w:t>
      </w:r>
      <w:r w:rsidR="00224E1B" w:rsidRPr="007B0B53">
        <w:t>], os colégios militares, embora submetidos a regime jurídico </w:t>
      </w:r>
      <w:r w:rsidR="00224E1B" w:rsidRPr="007B0B53">
        <w:rPr>
          <w:i/>
          <w:iCs/>
        </w:rPr>
        <w:t>sui generis</w:t>
      </w:r>
      <w:r w:rsidR="00224E1B" w:rsidRPr="007B0B53">
        <w:t>, possuem natureza pública, pois são criados, mantidos e administrados pelo Poder Público, com recursos majoritariamente oriundos do orçamento do Ministério da Defesa. Desse modo, a existência de contribuições facultativas por parte dos alunos e a forma de ingresso seletiva não descaracterizam sua natureza pública. A exclusão dos egressos dessas instituições da política de cotas configura desobediência ao critério objetivo adotado pelo legislador, que não considerou a qualidade do ensino, mas a origem pública do colégio. Assim, afastar esses estudantes com base na excelência dos colégios militares compromete a coerência e a efetividade da política pública, além de gerar incentivos contrários à valorização do ensino público. Ademais, a atual redação da Lei nº 12.711/2012 reforça o caráter subsidiário da reserva de vagas, permitindo-se que todos os candidatos concorram inicialmente na ampla concorrência, sendo as cotas aplicadas apenas em caso de não classificação. Com base nesses e em outros entendimentos, o Plenário, por unanimidade, julgou improcedente a ação para assentar a constitucionalidade dos </w:t>
      </w:r>
      <w:proofErr w:type="spellStart"/>
      <w:r w:rsidR="00224E1B" w:rsidRPr="007B0B53">
        <w:rPr>
          <w:rStyle w:val="spelle"/>
        </w:rPr>
        <w:t>arts</w:t>
      </w:r>
      <w:proofErr w:type="spellEnd"/>
      <w:r w:rsidR="00224E1B" w:rsidRPr="007B0B53">
        <w:t>. 1º, </w:t>
      </w:r>
      <w:r w:rsidR="00224E1B" w:rsidRPr="007B0B53">
        <w:rPr>
          <w:i/>
          <w:iCs/>
        </w:rPr>
        <w:t>caput</w:t>
      </w:r>
      <w:r w:rsidR="00224E1B" w:rsidRPr="007B0B53">
        <w:t>; 3º, § 1º; 4º, </w:t>
      </w:r>
      <w:r w:rsidR="00224E1B" w:rsidRPr="007B0B53">
        <w:rPr>
          <w:i/>
          <w:iCs/>
        </w:rPr>
        <w:t>caput</w:t>
      </w:r>
      <w:r w:rsidR="00224E1B" w:rsidRPr="007B0B53">
        <w:t> e § 2º; e 5º, parágrafo único, todos da Lei nº 12.711/2012</w:t>
      </w:r>
      <w:r w:rsidR="00224E1B" w:rsidRPr="007B0B53">
        <w:rPr>
          <w:sz w:val="26"/>
          <w:szCs w:val="26"/>
        </w:rPr>
        <w:t>.</w:t>
      </w:r>
    </w:p>
    <w:p w:rsidR="009A2EE5" w:rsidRPr="007B0B53" w:rsidRDefault="00D963E1" w:rsidP="009A2EE5">
      <w:pPr>
        <w:pStyle w:val="NormalWeb"/>
        <w:shd w:val="clear" w:color="auto" w:fill="FFFFFF"/>
        <w:spacing w:before="240" w:beforeAutospacing="0" w:after="0" w:afterAutospacing="0"/>
        <w:jc w:val="both"/>
        <w:textAlignment w:val="baseline"/>
      </w:pPr>
      <w:r w:rsidRPr="007B0B53">
        <w:t xml:space="preserve">STF </w:t>
      </w:r>
      <w:r w:rsidR="009A2EE5" w:rsidRPr="007B0B53">
        <w:t xml:space="preserve">(ADPF 1235, in Notícias STF 13.06.2025) PDT recorre ao STF para criação de protocolo de urgência na rede de saúde do DF - </w:t>
      </w:r>
      <w:r w:rsidR="009A2EE5" w:rsidRPr="007B0B53">
        <w:rPr>
          <w:spacing w:val="-5"/>
        </w:rPr>
        <w:t>Partido alega descaso político e cobra adoção de medidas imediatas para evitar risco à vida da população -</w:t>
      </w:r>
      <w:r w:rsidR="009A2EE5" w:rsidRPr="007B0B53">
        <w:t xml:space="preserve"> O Partido Democrático Trabalhista (PDT) solicitou ao Supremo Tribunal Federal (STF) que ordene o governo do Distrito Federal a elaborar e implementar, em até 45 dias, protocolo de atendimento para pacientes classificados como urgentes na rede pública de saúde. O pedido é feito na Arguição de Descumprimento de Preceito Fundamental </w:t>
      </w:r>
      <w:r w:rsidR="009A2EE5" w:rsidRPr="007B0B53">
        <w:rPr>
          <w:rStyle w:val="Forte"/>
          <w:rFonts w:eastAsiaTheme="majorEastAsia"/>
          <w:b w:val="0"/>
        </w:rPr>
        <w:t>(ADPF) 1235</w:t>
      </w:r>
      <w:r w:rsidR="009A2EE5" w:rsidRPr="007B0B53">
        <w:t xml:space="preserve">, distribuída ao ministro André Mendonça. Segundo o PDT, a precariedade dos serviços de saúde revela grave desvio administrativo, diante do aumento expressivo de receitas assegurado pelo Fundo Constitucional do Distrito Federal (FCDF), demonstrando “claro descompromisso com a boa gestão pública e com os fins essenciais do Estado”. </w:t>
      </w:r>
      <w:r w:rsidR="009A2EE5" w:rsidRPr="007B0B53">
        <w:rPr>
          <w:rStyle w:val="Forte"/>
          <w:b w:val="0"/>
          <w:bCs w:val="0"/>
        </w:rPr>
        <w:t>Medida liminar -</w:t>
      </w:r>
      <w:r w:rsidR="009A2EE5" w:rsidRPr="007B0B53">
        <w:t xml:space="preserve"> Ao denunciar a condução da política pública de saúde no DF, o partido alerta para o fato de o Executivo frequentemente restringir o atendimento nas unidades e negar acesso aos serviços sem dar o devido encaminhamento até mesmo aos pacientes em estado grave. Em razão dos efeitos diários impostos aos moradores e por violar dispositivos constitucionais, como a garantia à vida e o direito social à saúde, o PDT requer a intervenção urgente do Supremo para restaurar a ordem constitucional violada. A agremiação também pede que seja normalizado o serviço a pacientes triados como urgentes, a divulgação imediata das causas de restrição de atendimento (bandeiras vermelha e </w:t>
      </w:r>
      <w:r w:rsidR="009A2EE5" w:rsidRPr="007B0B53">
        <w:lastRenderedPageBreak/>
        <w:t>laranja) nas unidades de saúde, a apresentação do plano de recuperação das unidades, o cumprimento das determinações dos Tribunais de Contas do Distrito Federal (TCDF) e da União (TCU) e a adoção de um plano de redução de filas para cirurgias eletivas e não eletivas.</w:t>
      </w:r>
    </w:p>
    <w:p w:rsidR="000D364A" w:rsidRPr="007B0B53" w:rsidRDefault="009A2EE5" w:rsidP="0082143B">
      <w:pPr>
        <w:pStyle w:val="NormalWeb"/>
        <w:shd w:val="clear" w:color="auto" w:fill="FFFFFF"/>
        <w:spacing w:before="240" w:beforeAutospacing="0" w:after="0" w:afterAutospacing="0"/>
        <w:jc w:val="both"/>
        <w:textAlignment w:val="baseline"/>
      </w:pPr>
      <w:r w:rsidRPr="007B0B53">
        <w:t xml:space="preserve">STF </w:t>
      </w:r>
      <w:r w:rsidR="000D364A" w:rsidRPr="007B0B53">
        <w:t>(RE 1538690, in Boletim Repercussão Geral 336) Tema 1387 – Título: Excesso de poder regulamentar de atos do Poder Executivo que disciplinam a destinação de recursos da Conta de Desenvolvimento Energético (CDE). O Tribunal fixou a seguinte tese: “É infraconstitucional a controvérsia sobre o excesso de poder regulamentar de atos do Poder Executivo que disciplinam a destinação de recursos da Conta de Desenvolvimento Energético (CDE).”</w:t>
      </w:r>
    </w:p>
    <w:p w:rsidR="0082143B" w:rsidRPr="007B0B53" w:rsidRDefault="000D364A" w:rsidP="0082143B">
      <w:pPr>
        <w:pStyle w:val="NormalWeb"/>
        <w:shd w:val="clear" w:color="auto" w:fill="FFFFFF"/>
        <w:spacing w:before="240" w:beforeAutospacing="0" w:after="0" w:afterAutospacing="0"/>
        <w:jc w:val="both"/>
        <w:textAlignment w:val="baseline"/>
      </w:pPr>
      <w:r w:rsidRPr="007B0B53">
        <w:t xml:space="preserve">STF </w:t>
      </w:r>
      <w:r w:rsidR="0082143B" w:rsidRPr="007B0B53">
        <w:t xml:space="preserve">(ADPF 1204, in Notícias STF 04.06.2025) STF rejeita ação contra restrição em programa Pé-de-Meia Licenciaturas - </w:t>
      </w:r>
      <w:r w:rsidR="0082143B" w:rsidRPr="007B0B53">
        <w:rPr>
          <w:spacing w:val="-5"/>
        </w:rPr>
        <w:t xml:space="preserve">Ministro Dias </w:t>
      </w:r>
      <w:proofErr w:type="spellStart"/>
      <w:r w:rsidR="0082143B" w:rsidRPr="007B0B53">
        <w:rPr>
          <w:spacing w:val="-5"/>
        </w:rPr>
        <w:t>Toffoli</w:t>
      </w:r>
      <w:proofErr w:type="spellEnd"/>
      <w:r w:rsidR="0082143B" w:rsidRPr="007B0B53">
        <w:rPr>
          <w:spacing w:val="-5"/>
        </w:rPr>
        <w:t xml:space="preserve"> apresentou duas razões processuais que impedem o prosseguimento da ação -</w:t>
      </w:r>
      <w:r w:rsidR="0082143B" w:rsidRPr="007B0B53">
        <w:t xml:space="preserve"> O ministro Dias </w:t>
      </w:r>
      <w:proofErr w:type="spellStart"/>
      <w:r w:rsidR="0082143B" w:rsidRPr="007B0B53">
        <w:t>Toffoli</w:t>
      </w:r>
      <w:proofErr w:type="spellEnd"/>
      <w:r w:rsidR="0082143B" w:rsidRPr="007B0B53">
        <w:t>, do Supremo Tribunal Federal (STF), rejeitou a Arguição de Descumprimento de Preceito Fundamental </w:t>
      </w:r>
      <w:r w:rsidR="0082143B" w:rsidRPr="007B0B53">
        <w:rPr>
          <w:rStyle w:val="Forte"/>
          <w:rFonts w:eastAsiaTheme="majorEastAsia"/>
          <w:b w:val="0"/>
        </w:rPr>
        <w:t>(ADPF) 1204</w:t>
      </w:r>
      <w:r w:rsidR="0082143B" w:rsidRPr="007B0B53">
        <w:t xml:space="preserve">, em que foi questionado dispositivo da portaria que criou a Bolsa de Atratividade e Formação para a Docência (Pé-de-Meia Licenciaturas) e restringiu o benefício a estudantes de cursos presenciais. A ação é da Associação Brasileira dos Estudantes de Educação a Distância (ABE-EAD). O apoio financeiro foi instituído pelo Decreto 12.358/2025, que criou o programa Mais Professores, com o objetivo de fomentar o ingresso, a permanência e a conclusão nos cursos de licenciatura de estudantes com alto desempenho no Exame Nacional do Ensino Médio (Enem). Na ação, a ABE-EAD alegava que a restrição prevista na Portaria 6/2025 da Fundação Coordenação de Aperfeiçoamento de Pessoal de Nível Superior (Capes) criou uma regra discriminatória, que prejudica estudantes de regiões periféricas e de baixa renda, para quem o </w:t>
      </w:r>
      <w:proofErr w:type="spellStart"/>
      <w:r w:rsidR="0082143B" w:rsidRPr="007B0B53">
        <w:t>EaD</w:t>
      </w:r>
      <w:proofErr w:type="spellEnd"/>
      <w:r w:rsidR="0082143B" w:rsidRPr="007B0B53">
        <w:t xml:space="preserve"> seria a única via de acesso ao ensino superior.  </w:t>
      </w:r>
      <w:r w:rsidR="0082143B" w:rsidRPr="007B0B53">
        <w:rPr>
          <w:rStyle w:val="Forte"/>
          <w:b w:val="0"/>
          <w:bCs w:val="0"/>
        </w:rPr>
        <w:t>Questões processuais -</w:t>
      </w:r>
      <w:r w:rsidR="0082143B" w:rsidRPr="007B0B53">
        <w:t xml:space="preserve"> Em sua decisão, o ministro não analisou o mérito da controvérsia e rejeitou o trâmite da ação por razões processuais. Segundo ele, a ABE-EAD não comprovou que atua em pelo menos nove estados, requisito para que entidades de classe proponham ações que questionam a validade de leis e normas diretamente no STF. Além disso, o relator explicou que a ação questiona uma portaria, ato </w:t>
      </w:r>
      <w:proofErr w:type="spellStart"/>
      <w:r w:rsidR="0082143B" w:rsidRPr="007B0B53">
        <w:t>infralegal</w:t>
      </w:r>
      <w:proofErr w:type="spellEnd"/>
      <w:r w:rsidR="0082143B" w:rsidRPr="007B0B53">
        <w:t xml:space="preserve"> de natureza regulamentar, mas não a lei federal que a fundamenta (no caso, a Lei de Diretrizes e Bases da Educação Nacional – Lei 9.394/1996). Assim, a ADPF não é cabível, pois a impugnação de ato normativo secundário está condicionada ao questionamento do dispositivo legal que lhe dá fundamento de validade.</w:t>
      </w:r>
    </w:p>
    <w:p w:rsidR="008524E3" w:rsidRPr="007B0B53" w:rsidRDefault="0082143B" w:rsidP="008524E3">
      <w:pPr>
        <w:pStyle w:val="NormalWeb"/>
        <w:shd w:val="clear" w:color="auto" w:fill="FFFFFF"/>
        <w:spacing w:before="240" w:beforeAutospacing="0" w:after="0" w:afterAutospacing="0"/>
        <w:jc w:val="both"/>
        <w:textAlignment w:val="baseline"/>
      </w:pPr>
      <w:r w:rsidRPr="007B0B53">
        <w:t xml:space="preserve">STF </w:t>
      </w:r>
      <w:r w:rsidR="008524E3" w:rsidRPr="007B0B53">
        <w:t>(ADI 7725, in Notícias STF 02.06.2025</w:t>
      </w:r>
      <w:r w:rsidR="0016736D" w:rsidRPr="007B0B53">
        <w:t xml:space="preserve"> e Informativo STF 1180</w:t>
      </w:r>
      <w:r w:rsidR="008524E3" w:rsidRPr="007B0B53">
        <w:t xml:space="preserve">) </w:t>
      </w:r>
      <w:r w:rsidR="0016736D" w:rsidRPr="007B0B53">
        <w:t xml:space="preserve">Informativo STF: DIREITO CONSTITUCIONAL – REPARTIÇÃO DE COMPETÊNCIAS; SERVIÇOS DE FORNECIMENTO DE ENERGIA ELÉTRICA E ÁGUA; SUSPENSÃO POR FALTA DE PAGAMENTO – </w:t>
      </w:r>
      <w:r w:rsidR="0016736D" w:rsidRPr="007B0B53">
        <w:rPr>
          <w:bCs/>
          <w:iCs/>
        </w:rPr>
        <w:t>Suspensão do fornecimento de energia elétrica e água por falta de pagamento no âmbito estadual </w:t>
      </w:r>
      <w:r w:rsidR="0016736D" w:rsidRPr="007B0B53">
        <w:t>–</w:t>
      </w:r>
      <w:bookmarkStart w:id="4" w:name="_Hlk120041969"/>
      <w:r w:rsidR="0016736D" w:rsidRPr="007B0B53">
        <w:t xml:space="preserve"> </w:t>
      </w:r>
      <w:r w:rsidR="0016736D" w:rsidRPr="007B0B53">
        <w:rPr>
          <w:bCs/>
        </w:rPr>
        <w:t>É inconstitucional — por violar a competência da União para explorar os serviços de energia e para legislar sobre energia e água (CF/1988, </w:t>
      </w:r>
      <w:bookmarkEnd w:id="4"/>
      <w:proofErr w:type="spellStart"/>
      <w:r w:rsidR="0016736D" w:rsidRPr="007B0B53">
        <w:rPr>
          <w:rStyle w:val="spelle"/>
          <w:bCs/>
        </w:rPr>
        <w:t>arts</w:t>
      </w:r>
      <w:proofErr w:type="spellEnd"/>
      <w:r w:rsidR="0016736D" w:rsidRPr="007B0B53">
        <w:rPr>
          <w:bCs/>
        </w:rPr>
        <w:t>. 21, XII, </w:t>
      </w:r>
      <w:r w:rsidR="0016736D" w:rsidRPr="007B0B53">
        <w:rPr>
          <w:bCs/>
          <w:i/>
          <w:iCs/>
        </w:rPr>
        <w:t>b</w:t>
      </w:r>
      <w:r w:rsidR="0016736D" w:rsidRPr="007B0B53">
        <w:rPr>
          <w:bCs/>
        </w:rPr>
        <w:t xml:space="preserve">; e 22, IV), bem como infringir a competência dos municípios para legislar sobre assuntos de interesse local e organizar serviços de interesse local (CF/1988, art. 30, I e V) — norma estadual que estabelece regras sobre a suspensão do fornecimento dos serviços de energia elétrica e de água por inadimplência do usuário. </w:t>
      </w:r>
      <w:r w:rsidR="0016736D" w:rsidRPr="007B0B53">
        <w:t>Conforme a jurisprudência desta Corte: (i) é da União a competência legislativa para regular o serviço público de energia elétrica, inclusive a temática referente à suspensão dos serviços por inadimplemento dos usuários [Precedentes citados: ADI 7.576, ADI 5.798, ADI 7.386, ADI 7.225, ADI 6.190, ADI 5.960 e ADI 4.925]; e (</w:t>
      </w:r>
      <w:proofErr w:type="spellStart"/>
      <w:r w:rsidR="0016736D" w:rsidRPr="007B0B53">
        <w:rPr>
          <w:rStyle w:val="spelle"/>
        </w:rPr>
        <w:t>ii</w:t>
      </w:r>
      <w:proofErr w:type="spellEnd"/>
      <w:r w:rsidR="0016736D" w:rsidRPr="007B0B53">
        <w:t xml:space="preserve">) é de titularidade dos municípios as competências administrativa e legislativa relacionadas aos serviços de fornecimento de água, ressalvada a instituição de normas gerais pela União [Precedentes citados: ADI 2.340, ADI 7.405, ADI 3.661, ADI 2.790 e ADI 5.877]. Nesse contexto, compete à Agência Nacional de Energia Elétrica (ANEEL), autarquia federal instituída pela Lei nº 9.427/1996, emitir normas regulatórias que estabeleçam as condições gerais do fornecimento de energia elétrica aos usuários. Atualmente, as regras para a distribuição de energia elétrica estão dispostas em sua Resolução Normativa nº 1.000/2021. Com base nesses entendimentos, o Plenário, por maioria, julgou procedente a ação para declarar inconstitucional o art. 1º da Lei nº 3.533/2019 do Estado do Tocantins. Notícias STF: </w:t>
      </w:r>
      <w:r w:rsidR="008524E3" w:rsidRPr="007B0B53">
        <w:t xml:space="preserve">STF declara inconstitucional norma do Tocantins que proibia corte de água e energia antes de 60 dias de atraso - </w:t>
      </w:r>
      <w:r w:rsidR="008524E3" w:rsidRPr="007B0B53">
        <w:rPr>
          <w:spacing w:val="-5"/>
        </w:rPr>
        <w:t>Matéria é de competência da União, e já há normas específicas sobre prazos e condições para o corte -</w:t>
      </w:r>
      <w:r w:rsidR="008524E3" w:rsidRPr="007B0B53">
        <w:t xml:space="preserve"> O Supremo Tribunal Federal (STF) declarou inconstitucional uma norma do Estado do Tocantins que impedia concessionárias de suspenderem o fornecimento de energia elétrica e água tratada por falta de pagamento antes de 60 dias </w:t>
      </w:r>
      <w:r w:rsidR="008524E3" w:rsidRPr="007B0B53">
        <w:lastRenderedPageBreak/>
        <w:t>corridos após o vencimento da fatura. A decisão foi tomada na Ação Direta de Inconstitucionalidade </w:t>
      </w:r>
      <w:r w:rsidR="008524E3" w:rsidRPr="007B0B53">
        <w:rPr>
          <w:rStyle w:val="Forte"/>
          <w:rFonts w:eastAsiaTheme="majorEastAsia"/>
          <w:b w:val="0"/>
        </w:rPr>
        <w:t>(ADI) 7725</w:t>
      </w:r>
      <w:r w:rsidR="008524E3" w:rsidRPr="007B0B53">
        <w:t>, ajuizada pela Associação Brasileira das Empresas Estaduais de Saneamento (</w:t>
      </w:r>
      <w:proofErr w:type="spellStart"/>
      <w:r w:rsidR="008524E3" w:rsidRPr="007B0B53">
        <w:t>Aesbe</w:t>
      </w:r>
      <w:proofErr w:type="spellEnd"/>
      <w:r w:rsidR="008524E3" w:rsidRPr="007B0B53">
        <w:t xml:space="preserve">). Em seu voto, o relator, ministro André Mendonça, destacou que a Constituição Federal atribui à União a competência para legislar sobre energia elétrica e saneamento básico, inclusive sobre a possibilidade de suspensão do fornecimento em caso de inadimplência. No caso da energia elétrica, Mendonça explicou que tanto a prestação do serviço quanto sua regulação são atribuições exclusivas da União, exercidas por meio da Agência Nacional de Energia Elétrica (Aneel), que tem normas específicas sobre prazos e condições para o corte de fornecimento. Quanto ao abastecimento de água, o ministro lembrou que se trata de um serviço de interesse local, cuja titularidade é dos municípios, cabendo a eles regular o assunto. Ficou vencido o ministro Edson </w:t>
      </w:r>
      <w:proofErr w:type="spellStart"/>
      <w:r w:rsidR="008524E3" w:rsidRPr="007B0B53">
        <w:t>Fachin</w:t>
      </w:r>
      <w:proofErr w:type="spellEnd"/>
      <w:r w:rsidR="008524E3" w:rsidRPr="007B0B53">
        <w:t>, para quem a Lei estadual 3.533/2019 apenas detalhava regras para proteger os consumidores, respeitando as necessidades locais em serviços essenciais como água e energia.</w:t>
      </w:r>
    </w:p>
    <w:p w:rsidR="00DA3860" w:rsidRPr="007B0B53" w:rsidRDefault="008524E3" w:rsidP="00DA3860">
      <w:pPr>
        <w:pStyle w:val="NormalWeb"/>
        <w:shd w:val="clear" w:color="auto" w:fill="FFFFFF"/>
        <w:spacing w:before="240" w:beforeAutospacing="0" w:after="0" w:afterAutospacing="0"/>
        <w:jc w:val="both"/>
        <w:textAlignment w:val="baseline"/>
      </w:pPr>
      <w:r w:rsidRPr="007B0B53">
        <w:t xml:space="preserve">STF </w:t>
      </w:r>
      <w:r w:rsidR="00DA3860" w:rsidRPr="007B0B53">
        <w:t xml:space="preserve">(ADO 93, in Notícias STF 30.05.2025) Entidade representante de pessoas com deficiência pede regulamentação de transporte de cães de suporte emocional - </w:t>
      </w:r>
      <w:r w:rsidR="00DA3860" w:rsidRPr="007B0B53">
        <w:rPr>
          <w:spacing w:val="-5"/>
        </w:rPr>
        <w:t>Para o Instituto Oceano Azul, portaria que delega às companhias aéreas a definição de regras de embarque permite arbitrariedades -</w:t>
      </w:r>
      <w:r w:rsidR="00DA3860" w:rsidRPr="007B0B53">
        <w:t xml:space="preserve"> O Instituto Nacional de Direitos da Pessoa com Deficiência Oceano Azul apresentou uma Ação Direta de Inconstitucionalidade por Omissão (</w:t>
      </w:r>
      <w:r w:rsidR="00DA3860" w:rsidRPr="007B0B53">
        <w:rPr>
          <w:rStyle w:val="Forte"/>
          <w:rFonts w:eastAsiaTheme="majorEastAsia"/>
          <w:b w:val="0"/>
        </w:rPr>
        <w:t>ADO 93</w:t>
      </w:r>
      <w:r w:rsidR="00DA3860" w:rsidRPr="007B0B53">
        <w:t>), no Supremo Tribunal Federal (STF), em que alega omissão da Agência Nacional de Aviação Civil (</w:t>
      </w:r>
      <w:proofErr w:type="spellStart"/>
      <w:r w:rsidR="00DA3860" w:rsidRPr="007B0B53">
        <w:t>Anac</w:t>
      </w:r>
      <w:proofErr w:type="spellEnd"/>
      <w:r w:rsidR="00DA3860" w:rsidRPr="007B0B53">
        <w:t>) em editar regulamentação clara e específica sobre o transporte aéreo de cães de apoio emocional. Segundo o Oceano Azul, esses animais são essenciais para inúmeras pessoas com deficiência (</w:t>
      </w:r>
      <w:proofErr w:type="spellStart"/>
      <w:r w:rsidR="00DA3860" w:rsidRPr="007B0B53">
        <w:t>PCDs</w:t>
      </w:r>
      <w:proofErr w:type="spellEnd"/>
      <w:r w:rsidR="00DA3860" w:rsidRPr="007B0B53">
        <w:t xml:space="preserve">), incluindo as com Transtorno do Espectro Autista (TEA) e outras condições de saúde mental, intelectual ou psicossocial. A entidade alega que, embora reconheça a existência desses animais de assistência, a Portaria 12.307/2023 da </w:t>
      </w:r>
      <w:proofErr w:type="spellStart"/>
      <w:r w:rsidR="00DA3860" w:rsidRPr="007B0B53">
        <w:t>Anac</w:t>
      </w:r>
      <w:proofErr w:type="spellEnd"/>
      <w:r w:rsidR="00DA3860" w:rsidRPr="007B0B53">
        <w:t xml:space="preserve"> “falha gravemente” ao tornar seu transporte facultativo às companhias aéreas e ao delegar a elas, sem critérios mínimos, a definição das regras de embarque. O instituto afirma que essa omissão cria “um cenário de insegurança jurídica, arbitrariedade e discriminação”, ao permitir que cada empresa imponha barreiras distintas – desde negativas de embarque a cobrança de altas taxas –, que efetivamente impedem ou dificultam o acesso de </w:t>
      </w:r>
      <w:proofErr w:type="spellStart"/>
      <w:r w:rsidR="00DA3860" w:rsidRPr="007B0B53">
        <w:t>PCDs</w:t>
      </w:r>
      <w:proofErr w:type="spellEnd"/>
      <w:r w:rsidR="00DA3860" w:rsidRPr="007B0B53">
        <w:t xml:space="preserve"> ao transporte aéreo em condições de igualdade. A entidade também critica recente decisão do Superior Tribunal de Justiça (STJ) que diferenciou cães de apoio emocional de cães-guia e validou a discricionariedade das companhias aéreas na ausência de norma específica. A ADO foi distribuída à ministra </w:t>
      </w:r>
      <w:proofErr w:type="spellStart"/>
      <w:r w:rsidR="00DA3860" w:rsidRPr="007B0B53">
        <w:t>Cármen</w:t>
      </w:r>
      <w:proofErr w:type="spellEnd"/>
      <w:r w:rsidR="00DA3860" w:rsidRPr="007B0B53">
        <w:t xml:space="preserve"> Lúcia.</w:t>
      </w:r>
    </w:p>
    <w:p w:rsidR="00305970" w:rsidRPr="007B0B53" w:rsidRDefault="00DA3860" w:rsidP="00305970">
      <w:pPr>
        <w:pStyle w:val="NormalWeb"/>
        <w:shd w:val="clear" w:color="auto" w:fill="FFFFFF"/>
        <w:spacing w:before="240" w:beforeAutospacing="0" w:after="0" w:afterAutospacing="0"/>
        <w:jc w:val="both"/>
        <w:textAlignment w:val="baseline"/>
      </w:pPr>
      <w:r w:rsidRPr="007B0B53">
        <w:t xml:space="preserve">STF </w:t>
      </w:r>
      <w:r w:rsidR="00305970" w:rsidRPr="007B0B53">
        <w:t xml:space="preserve">(ADI 7725, in Jota Jornal 23.05.2025) STF tem maioria para derrubar lei que proibia corte de energia e água por 2 meses de inadimplência - </w:t>
      </w:r>
      <w:r w:rsidR="00305970" w:rsidRPr="007B0B53">
        <w:rPr>
          <w:bCs/>
        </w:rPr>
        <w:t xml:space="preserve">Relator André Mendonça entendeu que norma estadual tocantinense invadiu competências da União e dos municípios - </w:t>
      </w:r>
      <w:r w:rsidR="00305970" w:rsidRPr="007B0B53">
        <w:t>O Supremo Tribunal Federal (</w:t>
      </w:r>
      <w:hyperlink r:id="rId9" w:history="1">
        <w:r w:rsidR="00305970" w:rsidRPr="007B0B53">
          <w:rPr>
            <w:rStyle w:val="Hyperlink"/>
            <w:color w:val="auto"/>
          </w:rPr>
          <w:t>STF</w:t>
        </w:r>
      </w:hyperlink>
      <w:r w:rsidR="00305970" w:rsidRPr="007B0B53">
        <w:t xml:space="preserve">) formou maioria para declarar inconstitucional o artigo 1º da Lei 3.533/2019, do Tocantins, que proibia concessionárias de suspender o fornecimento de energia elétrica e água em caso de inadimplência inferior a 60 dias. A ação direta de inconstitucionalidade (ADI) 7725 foi ajuizada pela Associação Brasileira das Empresas Estaduais de Saneamento (AESBE). A maioria se formou em torno do voto do relator, ministro André Mendonça, que entendeu que a norma violava competências da União e dos municípios, além de interferir em contratos administrativos de concessão de serviços públicos. Votaram com ele os ministros Alexandre de Moraes, Cristiano Zanin, Flávio Dino, Dias </w:t>
      </w:r>
      <w:proofErr w:type="spellStart"/>
      <w:r w:rsidR="00305970" w:rsidRPr="007B0B53">
        <w:t>Toffoli</w:t>
      </w:r>
      <w:proofErr w:type="spellEnd"/>
      <w:r w:rsidR="00305970" w:rsidRPr="007B0B53">
        <w:t>, </w:t>
      </w:r>
      <w:proofErr w:type="spellStart"/>
      <w:r w:rsidR="00305970" w:rsidRPr="007B0B53">
        <w:t>Cármen</w:t>
      </w:r>
      <w:proofErr w:type="spellEnd"/>
      <w:r w:rsidR="00305970" w:rsidRPr="007B0B53">
        <w:t xml:space="preserve"> Lúcia, Luiz </w:t>
      </w:r>
      <w:proofErr w:type="spellStart"/>
      <w:r w:rsidR="00305970" w:rsidRPr="007B0B53">
        <w:t>Fux</w:t>
      </w:r>
      <w:proofErr w:type="spellEnd"/>
      <w:r w:rsidR="00305970" w:rsidRPr="007B0B53">
        <w:t xml:space="preserve"> e Luís Roberto Barroso enquanto o ministro Edson </w:t>
      </w:r>
      <w:proofErr w:type="spellStart"/>
      <w:r w:rsidR="00305970" w:rsidRPr="007B0B53">
        <w:t>Fachin</w:t>
      </w:r>
      <w:proofErr w:type="spellEnd"/>
      <w:r w:rsidR="00305970" w:rsidRPr="007B0B53">
        <w:t> divergiu. O julgamento está em curso no plenário virtual da Corte. Na ação, a AESBE argumentava que a lei estadual interferia na gestão de serviços públicos concedidos, tema que exigiria iniciativa do Executivo estadual e estaria sujeito a normas federais já estabelecidas. Para o relator, ao legislar sobre energia elétrica e saneamento, a Assembleia Legislativa do Tocantins extrapolou sua competência constitucional. Segundo Mendonça, a titularidade do serviço de energia pertence à União e o de água, aos municípios, cabendo à Agência Nacional de Energia Elétrica (ANEEL), cujas normas regulamentam o tema “de maneira expressa e exauriente”, e às autoridades locais a determinação das condições de fornecimento, inclusive quanto à possibilidade de suspensão. </w:t>
      </w:r>
      <w:r w:rsidR="00305970" w:rsidRPr="007B0B53">
        <w:rPr>
          <w:bCs/>
        </w:rPr>
        <w:t xml:space="preserve">Divergência - </w:t>
      </w:r>
      <w:r w:rsidR="00305970" w:rsidRPr="007B0B53">
        <w:t xml:space="preserve">O ministro Edson </w:t>
      </w:r>
      <w:proofErr w:type="spellStart"/>
      <w:r w:rsidR="00305970" w:rsidRPr="007B0B53">
        <w:t>Fachin</w:t>
      </w:r>
      <w:proofErr w:type="spellEnd"/>
      <w:r w:rsidR="00305970" w:rsidRPr="007B0B53">
        <w:t xml:space="preserve"> foi o único que apresentou voto divergente, defendendo a validade da norma de Tocantins com base no princípio federativo e na proteção ao consumidor. </w:t>
      </w:r>
      <w:proofErr w:type="spellStart"/>
      <w:r w:rsidR="00305970" w:rsidRPr="007B0B53">
        <w:t>Fachin</w:t>
      </w:r>
      <w:proofErr w:type="spellEnd"/>
      <w:r w:rsidR="00305970" w:rsidRPr="007B0B53">
        <w:t xml:space="preserve"> afirmou em seu voto vogal que "a repartição de competências é característica fundamental em um Estado federado para que seja protegida a autonomia de cada um dos seus membros" e que a lei do Tocantins se insere no exercício legítimo da competência concorrente dos estados para legislar sobre direito do consumidor. </w:t>
      </w:r>
      <w:proofErr w:type="spellStart"/>
      <w:r w:rsidR="00305970" w:rsidRPr="007B0B53">
        <w:t>Fachin</w:t>
      </w:r>
      <w:proofErr w:type="spellEnd"/>
      <w:r w:rsidR="00305970" w:rsidRPr="007B0B53">
        <w:t xml:space="preserve"> ainda citou precedentes da Corte em que se admitiu a </w:t>
      </w:r>
      <w:r w:rsidR="00305970" w:rsidRPr="007B0B53">
        <w:lastRenderedPageBreak/>
        <w:t>constitucionalidade de leis estaduais que vedavam o corte de fornecimento durante a pandemia de Covid-19, dando margem à atuação dos entes federativos na regulação de serviços essenciais tendo em vista preocupações com proteção social.</w:t>
      </w:r>
    </w:p>
    <w:p w:rsidR="00211EF6" w:rsidRPr="007B0B53" w:rsidRDefault="00305970" w:rsidP="00DF0B33">
      <w:pPr>
        <w:pStyle w:val="NormalWeb"/>
        <w:shd w:val="clear" w:color="auto" w:fill="FFFFFF"/>
        <w:spacing w:before="240" w:beforeAutospacing="0" w:after="0" w:afterAutospacing="0"/>
        <w:jc w:val="both"/>
        <w:textAlignment w:val="baseline"/>
      </w:pPr>
      <w:r w:rsidRPr="007B0B53">
        <w:t xml:space="preserve">STF </w:t>
      </w:r>
      <w:r w:rsidR="00211EF6" w:rsidRPr="007B0B53">
        <w:t>(ADPF 218, in Informativo STF 1176) DIREITO </w:t>
      </w:r>
      <w:bookmarkStart w:id="5" w:name="_Toc196924108"/>
      <w:bookmarkStart w:id="6" w:name="_Toc195616197"/>
      <w:bookmarkStart w:id="7" w:name="_Toc195275054"/>
      <w:bookmarkEnd w:id="5"/>
      <w:bookmarkEnd w:id="6"/>
      <w:r w:rsidR="00211EF6" w:rsidRPr="007B0B53">
        <w:t>AMBIENTAL – LICENÇA AMBIENTAL; APROVEITAMENTO ENERGÉTICO DOS CURSOS D’ÁGUA; UNIDADE DE CONSERVAÇÃO PERMANENTE</w:t>
      </w:r>
      <w:bookmarkEnd w:id="7"/>
      <w:r w:rsidR="00211EF6" w:rsidRPr="007B0B53">
        <w:t xml:space="preserve"> - DIREITO CONSTITUCIONAL – REPARTIÇÃO DE COMPETÊNCIAS; ÁGUAS E ENERGIA; NORMAS GERAIS DE MEIO AMBIENTE</w:t>
      </w:r>
      <w:bookmarkStart w:id="8" w:name="Proteção"/>
      <w:r w:rsidR="00211EF6" w:rsidRPr="007B0B53">
        <w:rPr>
          <w:sz w:val="26"/>
          <w:szCs w:val="26"/>
        </w:rPr>
        <w:t xml:space="preserve"> - </w:t>
      </w:r>
      <w:r w:rsidR="00211EF6" w:rsidRPr="007B0B53">
        <w:rPr>
          <w:bCs/>
          <w:iCs/>
        </w:rPr>
        <w:t>Proteção ambiental no âmbito municipal: requisitos para licenciamento ambiental de usinas hidrelétricas e reconhecimento de unidades de conservação </w:t>
      </w:r>
      <w:bookmarkEnd w:id="8"/>
      <w:r w:rsidR="00211EF6" w:rsidRPr="007B0B53">
        <w:t>-</w:t>
      </w:r>
      <w:r w:rsidR="00DF0B33" w:rsidRPr="007B0B53">
        <w:t xml:space="preserve"> </w:t>
      </w:r>
      <w:r w:rsidR="00211EF6" w:rsidRPr="007B0B53">
        <w:rPr>
          <w:bCs/>
        </w:rPr>
        <w:t>São inconstitucionais — por desvio de finalidade legislativa e por violarem o sistema de repartição de competências e o princípio da lealdade à Federação — normas municipais que, ao tratarem da preservação ambiental nas margens dos cursos d’água no município, dispõem sobre requisitos específicos para o licenciamento ambiental de usinas hidrelétricas e para o reconhecimento de unidades de conservação ambiental, bem como declaram trecho de rio como monumento natural e patrimônio paisagístico e turístico da região.</w:t>
      </w:r>
      <w:r w:rsidR="00DF0B33" w:rsidRPr="007B0B53">
        <w:rPr>
          <w:bCs/>
        </w:rPr>
        <w:t xml:space="preserve"> </w:t>
      </w:r>
      <w:r w:rsidR="00211EF6" w:rsidRPr="007B0B53">
        <w:t>Na espécie, as normas municipais impugnadas, ao (i) proibirem a construção de usinas hidrelétricas e de pequenas centrais hidrelétricas, (</w:t>
      </w:r>
      <w:proofErr w:type="spellStart"/>
      <w:r w:rsidR="00211EF6" w:rsidRPr="007B0B53">
        <w:t>ii</w:t>
      </w:r>
      <w:proofErr w:type="spellEnd"/>
      <w:r w:rsidR="00211EF6" w:rsidRPr="007B0B53">
        <w:t>) intervirem na transposição de águas e hidrovias e (</w:t>
      </w:r>
      <w:proofErr w:type="spellStart"/>
      <w:r w:rsidR="00211EF6" w:rsidRPr="007B0B53">
        <w:t>iii</w:t>
      </w:r>
      <w:proofErr w:type="spellEnd"/>
      <w:r w:rsidR="00211EF6" w:rsidRPr="007B0B53">
        <w:t xml:space="preserve">) estipularem condicionantes e métodos para a geração de energia, violaram a competência da União para explorar tais serviços e legislar a seu respeito (CF/1988, </w:t>
      </w:r>
      <w:proofErr w:type="spellStart"/>
      <w:r w:rsidR="00211EF6" w:rsidRPr="007B0B53">
        <w:t>arts</w:t>
      </w:r>
      <w:proofErr w:type="spellEnd"/>
      <w:r w:rsidR="00211EF6" w:rsidRPr="007B0B53">
        <w:t>. 20, III e VIII; 21, XII, “b”; 22, IV; e 176), além de avocarem, indevidamente, a capacidade de concessão de licenças do Poder Executivo Federal e impossibilitar a deliberação sobre as questões ambientais e hidrelétricas no curso do Rio Piranga, que é de domínio da União [Precedentes citados: ADPF-</w:t>
      </w:r>
      <w:proofErr w:type="spellStart"/>
      <w:r w:rsidR="00211EF6" w:rsidRPr="007B0B53">
        <w:t>AgR</w:t>
      </w:r>
      <w:proofErr w:type="spellEnd"/>
      <w:r w:rsidR="00211EF6" w:rsidRPr="007B0B53">
        <w:t xml:space="preserve"> 979; ADI 7076; ADPF 452].</w:t>
      </w:r>
      <w:r w:rsidR="00DF0B33" w:rsidRPr="007B0B53">
        <w:t xml:space="preserve"> </w:t>
      </w:r>
      <w:r w:rsidR="00211EF6" w:rsidRPr="007B0B53">
        <w:t xml:space="preserve">Ademais, a previsão de regras mais restritivas do que as previstas no Código Florestal para que seja autorizada a supressão das vegetações naturais existentes no leito do Rio Piranga confronta com as disposições gerais estabelecidas pela União (CF/1988, </w:t>
      </w:r>
      <w:proofErr w:type="spellStart"/>
      <w:r w:rsidR="00211EF6" w:rsidRPr="007B0B53">
        <w:t>arts</w:t>
      </w:r>
      <w:proofErr w:type="spellEnd"/>
      <w:r w:rsidR="00211EF6" w:rsidRPr="007B0B53">
        <w:t xml:space="preserve">. 24, VI e VIII, e §§ 1º a 4º; e 30, I e II), circunstância que também revela a inconstitucionalidade formal da norma municipal, nesse ponto [Precedentes citados: ADI 5286; RE 586224 (Tema: 145 RG); ADI 4028; </w:t>
      </w:r>
      <w:proofErr w:type="spellStart"/>
      <w:r w:rsidR="00211EF6" w:rsidRPr="007B0B53">
        <w:t>ARE-AgR</w:t>
      </w:r>
      <w:proofErr w:type="spellEnd"/>
      <w:r w:rsidR="00211EF6" w:rsidRPr="007B0B53">
        <w:t xml:space="preserve"> 1419438].</w:t>
      </w:r>
      <w:r w:rsidR="00DF0B33" w:rsidRPr="007B0B53">
        <w:t xml:space="preserve"> </w:t>
      </w:r>
      <w:r w:rsidR="00211EF6" w:rsidRPr="007B0B53">
        <w:t>Nesse contexto, inviabilizar a atuação legislativa da União e a instalação de usinas hidrelétricas causa enormes prejuízos ao pacto federativo e à repartição de competências constitucionalmente fixada, além de pote</w:t>
      </w:r>
      <w:r w:rsidR="00DF0B33" w:rsidRPr="007B0B53">
        <w:t xml:space="preserve">nciais danos ao sistema elétrica. </w:t>
      </w:r>
      <w:r w:rsidR="00211EF6" w:rsidRPr="007B0B53">
        <w:t>Por outro lado, verifica-se que a criação de unidade de conservação permanente (monumento natural) em toda a extensão do referido rio que perpassa seu território ocorreu sem a observância das balizas procedimentais e de organização previstas pelo Sistema Nacional de Unidade de Conservação da Natureza – SNUC (Lei nº 9.985/2000). Portanto, o legislador municipal não atuou com fidelidade à Federação, em um contexto que sugere, inclusive, a ocorrência de desvio de finalidade legislativa.</w:t>
      </w:r>
      <w:r w:rsidR="00DF0B33" w:rsidRPr="007B0B53">
        <w:t xml:space="preserve"> </w:t>
      </w:r>
      <w:r w:rsidR="00211EF6" w:rsidRPr="007B0B53">
        <w:t>Com base nesses e outros entendimentos, o Plenário, por unanimidade, julgou procedente a arguição para declarar a inconstitucionalidade dos </w:t>
      </w:r>
      <w:proofErr w:type="spellStart"/>
      <w:r w:rsidR="00211EF6" w:rsidRPr="007B0B53">
        <w:t>arts</w:t>
      </w:r>
      <w:proofErr w:type="spellEnd"/>
      <w:r w:rsidR="00211EF6" w:rsidRPr="007B0B53">
        <w:t>. 1º, II; e 5º, </w:t>
      </w:r>
      <w:r w:rsidR="00211EF6" w:rsidRPr="007B0B53">
        <w:rPr>
          <w:i/>
          <w:iCs/>
        </w:rPr>
        <w:t>caput</w:t>
      </w:r>
      <w:r w:rsidR="00211EF6" w:rsidRPr="007B0B53">
        <w:t> e parágrafo único, da Lei nº 3.224/2008 e da íntegra da Lei nº 3.225/2008, ambas do Município de Ponte Nova/MG.</w:t>
      </w:r>
    </w:p>
    <w:p w:rsidR="00965444" w:rsidRPr="007B0B53" w:rsidRDefault="00211EF6" w:rsidP="00965444">
      <w:pPr>
        <w:pStyle w:val="NormalWeb"/>
        <w:shd w:val="clear" w:color="auto" w:fill="FFFFFF"/>
        <w:spacing w:before="240" w:beforeAutospacing="0" w:after="0" w:afterAutospacing="0"/>
        <w:jc w:val="both"/>
        <w:textAlignment w:val="baseline"/>
      </w:pPr>
      <w:r w:rsidRPr="007B0B53">
        <w:t xml:space="preserve">STF </w:t>
      </w:r>
      <w:r w:rsidR="00965444" w:rsidRPr="007B0B53">
        <w:t>(ADPF 1196, in Notícias STF 14.05.2025) STF suspende julgamento sobre serviços funerários de São Paulo - </w:t>
      </w:r>
      <w:r w:rsidR="00965444" w:rsidRPr="007B0B53">
        <w:rPr>
          <w:spacing w:val="-5"/>
        </w:rPr>
        <w:t xml:space="preserve">Ministro Luiz </w:t>
      </w:r>
      <w:proofErr w:type="spellStart"/>
      <w:r w:rsidR="00965444" w:rsidRPr="007B0B53">
        <w:rPr>
          <w:spacing w:val="-5"/>
        </w:rPr>
        <w:t>Fux</w:t>
      </w:r>
      <w:proofErr w:type="spellEnd"/>
      <w:r w:rsidR="00965444" w:rsidRPr="007B0B53">
        <w:rPr>
          <w:spacing w:val="-5"/>
        </w:rPr>
        <w:t xml:space="preserve"> pediu mais tempo para analisar o caso. Discussão deve ser retomada em conjunto com outro processo relacionado – </w:t>
      </w:r>
      <w:r w:rsidR="00965444" w:rsidRPr="007B0B53">
        <w:t xml:space="preserve">O Supremo Tribunal Federal (STF) suspendeu nesta quarta-feira (14) a análise de duas decisões do ministro Flávio Dino que estabeleceram um teto para a cobrança de serviços funerários e de cemitérios no Município de São Paulo e medidas para a sua divulgação e fiscalização. O ministro Luiz </w:t>
      </w:r>
      <w:proofErr w:type="spellStart"/>
      <w:r w:rsidR="00965444" w:rsidRPr="007B0B53">
        <w:t>Fux</w:t>
      </w:r>
      <w:proofErr w:type="spellEnd"/>
      <w:r w:rsidR="00965444" w:rsidRPr="007B0B53">
        <w:t xml:space="preserve"> fez um pedido de vista (mais tempo para análise). O objetivo é retomar o julgamento do caso em conjunto com um outro processo, de relatoria de </w:t>
      </w:r>
      <w:proofErr w:type="spellStart"/>
      <w:r w:rsidR="00965444" w:rsidRPr="007B0B53">
        <w:t>Fux</w:t>
      </w:r>
      <w:proofErr w:type="spellEnd"/>
      <w:r w:rsidR="00965444" w:rsidRPr="007B0B53">
        <w:t>, que discute o mesmo tema. Até o pedido de vista, só havia votado Dino, relator do caso, a favor de confirmar as suas decisões. O assunto é discutido na Arguição de Descumprimento de Preceito Fundamental </w:t>
      </w:r>
      <w:r w:rsidR="00965444" w:rsidRPr="007B0B53">
        <w:rPr>
          <w:rStyle w:val="Forte"/>
          <w:rFonts w:eastAsiaTheme="majorEastAsia"/>
          <w:b w:val="0"/>
        </w:rPr>
        <w:t>(ADPF) 1196</w:t>
      </w:r>
      <w:r w:rsidR="00965444" w:rsidRPr="007B0B53">
        <w:t xml:space="preserve">, apresentada pelo Partido Comunista do Brasil (PCdoB) contra duas leis paulistanas que concederam à iniciativa privada a exploração de cemitérios e crematórios públicos e serviços funerários. O que está em julgamento é a manutenção das duas liminares de Flávio Dino, que continuam valendo mesmo com o pedido de vista. A primeira delas, de novembro de 2024, determinou o restabelecimento dos valores praticados imediatamente antes da privatização do serviço, atualizados pelo IPCA (Índice Nacional de Preços ao Consumidor Amplo). Na segunda, de março deste ano, o ministro ordenou que o município ampliasse a divulgação dos preços dos serviços e dos critérios para pedir a gratuidade, com regras para a publicidade. </w:t>
      </w:r>
      <w:r w:rsidR="00965444" w:rsidRPr="007B0B53">
        <w:rPr>
          <w:rStyle w:val="Forte"/>
          <w:b w:val="0"/>
          <w:bCs w:val="0"/>
        </w:rPr>
        <w:t>Manifestações </w:t>
      </w:r>
      <w:r w:rsidR="00965444" w:rsidRPr="007B0B53">
        <w:rPr>
          <w:spacing w:val="-5"/>
        </w:rPr>
        <w:t xml:space="preserve">- </w:t>
      </w:r>
      <w:r w:rsidR="00965444" w:rsidRPr="007B0B53">
        <w:t xml:space="preserve">Na sessão desta quarta (14), o deputado federal Orlando Silva (PCdoB-SP) se manifestou em nome do partido e defendeu a manutenção das decisões, dizendo que elas protegem as famílias de São </w:t>
      </w:r>
      <w:r w:rsidR="00965444" w:rsidRPr="007B0B53">
        <w:lastRenderedPageBreak/>
        <w:t>Paulo de “violações brutais”. Segundo o congressista, foram levantadas centenas de denúncias que revelam a crueldade da norma da Câmara paulistana.  “Não se trata de discutir a possiblidade do poder concedente do município de São Paulo, trata-se de apelar a esta Corte para respeitar um direito fundamental e garantir a dignidade do sepultamento de entes queridos nos cemitérios públicos de São Paulo”, afirmou.</w:t>
      </w:r>
      <w:r w:rsidR="00965444" w:rsidRPr="007B0B53">
        <w:rPr>
          <w:spacing w:val="-5"/>
        </w:rPr>
        <w:t xml:space="preserve"> </w:t>
      </w:r>
      <w:r w:rsidR="00965444" w:rsidRPr="007B0B53">
        <w:t>O município de São Paulo foi representado pela procuradora Simone Coutinho, que defendeu a cassação das decisões. Segundo argumentou, o caso não deveria estar sendo discutido no Supremo, pois haveria outros tipos de ações possíveis em instâncias inferiores da Justiça. A procuradora ainda disse que o dispositivo questionado está em vigor desde 2019 e que a concessão foi baseada em estudos técnicos que indicaram o modelo como o mais adequado para a melhor prestação do serviço. </w:t>
      </w:r>
      <w:r w:rsidR="00965444" w:rsidRPr="007B0B53">
        <w:rPr>
          <w:rStyle w:val="Forte"/>
          <w:b w:val="0"/>
          <w:bCs w:val="0"/>
        </w:rPr>
        <w:t>Voto do relator - </w:t>
      </w:r>
      <w:r w:rsidR="00965444" w:rsidRPr="007B0B53">
        <w:t xml:space="preserve">Em seu voto, o ministro Flávio Dino reafirmou as liminares anteriormente concedidas. Ele disse que a discussão não diz respeito só aos interesses subjetivos das partes envolvidas ou de famílias eventualmente prejudicadas com os serviços funerários. “No caso de sepultamento de familiares, a assimetria, a desigualdade é tão brutal e inquestionável que, a meu ver, desumano seria imaginar que a família vai buscar tutela individual naquele momento dramático”, afirmou. Conforme o relator, a concessão do serviço à iniciativa privada, que não está em discussão no caso, não livra o poder público de garantir a sua prestação adequada. “Cabe ao município fiscalizar e regulamentar a atuação das concessionárias”, ressaltou. “Os serviços funerários e </w:t>
      </w:r>
      <w:proofErr w:type="spellStart"/>
      <w:r w:rsidR="00965444" w:rsidRPr="007B0B53">
        <w:t>cemiteriais</w:t>
      </w:r>
      <w:proofErr w:type="spellEnd"/>
      <w:r w:rsidR="00965444" w:rsidRPr="007B0B53">
        <w:t xml:space="preserve"> no município sofrem impactos negativos decorrentes de práticas mercadológicas alheias até mesmo a alguns parâmetros estabelecidos pela própria municipalidade”, disse o ministro. Segundo ele, essa situação tem levado a desvios na prestação do serviço que violam preceitos constitucionais. </w:t>
      </w:r>
      <w:r w:rsidR="00965444" w:rsidRPr="007B0B53">
        <w:rPr>
          <w:rStyle w:val="Forte"/>
          <w:b w:val="0"/>
          <w:bCs w:val="0"/>
        </w:rPr>
        <w:t>Discussão conjunta</w:t>
      </w:r>
      <w:r w:rsidR="00965444" w:rsidRPr="007B0B53">
        <w:rPr>
          <w:spacing w:val="-5"/>
        </w:rPr>
        <w:t xml:space="preserve"> - </w:t>
      </w:r>
      <w:r w:rsidR="00965444" w:rsidRPr="007B0B53">
        <w:t xml:space="preserve">Ao pedir vista, o ministro Luiz </w:t>
      </w:r>
      <w:proofErr w:type="spellStart"/>
      <w:r w:rsidR="00965444" w:rsidRPr="007B0B53">
        <w:t>Fux</w:t>
      </w:r>
      <w:proofErr w:type="spellEnd"/>
      <w:r w:rsidR="00965444" w:rsidRPr="007B0B53">
        <w:t xml:space="preserve"> disse que tem um processo com o mesmo tema da ADPF. Segundo ele, retomar a discussão dos dois casos de forma conjunta poderá agregar novos elementos ao julgamento. O processo em questão é o Recurso Extraordinário (RE) 1343346, com repercussão geral reconhecida. A discussão envolve justamente a validade do marco regulatório paulistano adotado para os serviços de cemitérios, funerárias e de cremação.</w:t>
      </w:r>
    </w:p>
    <w:p w:rsidR="004A295C" w:rsidRPr="007B0B53" w:rsidRDefault="004A295C" w:rsidP="004A295C">
      <w:pPr>
        <w:pStyle w:val="NormalWeb"/>
        <w:shd w:val="clear" w:color="auto" w:fill="FFFFFF"/>
        <w:spacing w:before="240" w:beforeAutospacing="0" w:after="0" w:afterAutospacing="0"/>
        <w:jc w:val="both"/>
        <w:textAlignment w:val="baseline"/>
      </w:pPr>
      <w:r w:rsidRPr="007B0B53">
        <w:t xml:space="preserve">STF (ADPF 1196, in Notícias STF 14.05.2025) Entenda: STF retoma análise de decisões sobre serviços funerários em SP - </w:t>
      </w:r>
      <w:r w:rsidRPr="007B0B53">
        <w:rPr>
          <w:spacing w:val="-5"/>
        </w:rPr>
        <w:t xml:space="preserve">Ministro Flávio Dino determinou teto para cobrança e reforço de fiscalização das concessionárias – </w:t>
      </w:r>
      <w:r w:rsidRPr="007B0B53">
        <w:t>O Supremo Tribunal Federal (STF) deve recomeçar nesta quarta-feira (14) a analisar duas decisões do ministro Flávio Dino que estabeleceram um teto para a cobrança de serviços funerários no Município de São Paulo e medidas para a sua divulgação e fiscalização. O assunto, discutido na Arguição de Descumprimento de Preceito Fundamental</w:t>
      </w:r>
      <w:r w:rsidRPr="007B0B53">
        <w:rPr>
          <w:rStyle w:val="Forte"/>
          <w:rFonts w:eastAsiaTheme="majorEastAsia"/>
        </w:rPr>
        <w:t> </w:t>
      </w:r>
      <w:r w:rsidRPr="007B0B53">
        <w:rPr>
          <w:rStyle w:val="Forte"/>
          <w:rFonts w:eastAsiaTheme="majorEastAsia"/>
          <w:b w:val="0"/>
        </w:rPr>
        <w:t>(ADPF) 1196</w:t>
      </w:r>
      <w:r w:rsidRPr="007B0B53">
        <w:t xml:space="preserve">, é o primeiro item da pauta do Plenário. O caso estava sendo julgado em sessão virtual, mas foi remetido para análise presencial por um pedido de destaque do ministro Gilmar Mendes, no começo de abril. A discussão no ambiente virtual foi feita em duas sessões, em março e abril, até o pedido de destaque. Além de Dino, haviam votado os ministros Alexandre de Moraes, André Mendonça, Cristiano Zanin, Dias </w:t>
      </w:r>
      <w:proofErr w:type="spellStart"/>
      <w:r w:rsidRPr="007B0B53">
        <w:t>Toffoli</w:t>
      </w:r>
      <w:proofErr w:type="spellEnd"/>
      <w:r w:rsidRPr="007B0B53">
        <w:t xml:space="preserve"> e Edson </w:t>
      </w:r>
      <w:proofErr w:type="spellStart"/>
      <w:r w:rsidRPr="007B0B53">
        <w:t>Fachin</w:t>
      </w:r>
      <w:proofErr w:type="spellEnd"/>
      <w:r w:rsidRPr="007B0B53">
        <w:t>. Com o destaque, os votos são zerados e o julgamento, reiniciado. </w:t>
      </w:r>
      <w:r w:rsidRPr="007B0B53">
        <w:rPr>
          <w:rStyle w:val="Forte"/>
          <w:b w:val="0"/>
          <w:bCs w:val="0"/>
        </w:rPr>
        <w:t xml:space="preserve">Decisões - </w:t>
      </w:r>
      <w:r w:rsidRPr="007B0B53">
        <w:t>Em novembro de 2024, o ministro Dino, relator da ação, deu uma decisão liminar (provisória) em que determinou o</w:t>
      </w:r>
      <w:r w:rsidRPr="007B0B53">
        <w:rPr>
          <w:rFonts w:eastAsiaTheme="majorEastAsia"/>
        </w:rPr>
        <w:t> restabelecimento dos valores praticados imediatamente antes da privatização</w:t>
      </w:r>
      <w:r w:rsidRPr="007B0B53">
        <w:t> do serviço, atualizados pelo IPCA (Índice Nacional de Preços ao Consumidor Amplo). O ministro atendeu em parte o pedido do Partido Comunista do Brasil (PCdoB), autor da ADPF. Em março deste ano, Dino </w:t>
      </w:r>
      <w:r w:rsidRPr="007B0B53">
        <w:rPr>
          <w:rFonts w:eastAsiaTheme="majorEastAsia"/>
        </w:rPr>
        <w:t>complementou sua decisão inicial</w:t>
      </w:r>
      <w:r w:rsidRPr="007B0B53">
        <w:t>, após uma audiência de conciliação e a análise da questão pelo Núcleo de Processos Estruturais Complexos (</w:t>
      </w:r>
      <w:proofErr w:type="spellStart"/>
      <w:r w:rsidRPr="007B0B53">
        <w:t>Nupec</w:t>
      </w:r>
      <w:proofErr w:type="spellEnd"/>
      <w:r w:rsidRPr="007B0B53">
        <w:t xml:space="preserve">). Ele determinou que o município ampliasse a divulgação dos preços dos serviços e dos critérios para pedir a gratuidade. As informações devem ser publicadas no site da prefeitura e fixadas em local visível na entrada de todos os cemitérios da cidade. Outro ponto dessa segunda decisão impõe um reforço da fiscalização pública das concessionárias do setor, com reajuste de multas em caso de infrações ou práticas irregulares. As empresas que operam os cemitérios devem manter em seus pontos de atendimento cartilhas com informações claras sobre os serviços, pacotes e direitos dos usuários. As duas decisões do relator são analisadas pelo Plenário. </w:t>
      </w:r>
      <w:r w:rsidRPr="007B0B53">
        <w:rPr>
          <w:rStyle w:val="Forte"/>
          <w:b w:val="0"/>
          <w:bCs w:val="0"/>
        </w:rPr>
        <w:t xml:space="preserve">Ação - </w:t>
      </w:r>
      <w:r w:rsidRPr="007B0B53">
        <w:t xml:space="preserve">Na ação, o PCdoB questiona duas leis paulistanas que concederam à iniciativa privada a exploração de cemitérios e crematórios públicos e serviços funerários. Para o partido, as normas contrariam a Lei Orgânica do Município de São Paulo, que atribui ao município o dever de administrar o serviço funerário e os cemitérios públicos e fiscalizar os privados. O argumento é de que a privatização desses serviços tem levado à “exploração comercial desenfreada”. O Município de São Paulo argumenta no processo que o tema deveria estar sob a relatoria do ministro Luiz </w:t>
      </w:r>
      <w:proofErr w:type="spellStart"/>
      <w:r w:rsidRPr="007B0B53">
        <w:t>Fux</w:t>
      </w:r>
      <w:proofErr w:type="spellEnd"/>
      <w:r w:rsidRPr="007B0B53">
        <w:t xml:space="preserve">, que </w:t>
      </w:r>
      <w:r w:rsidRPr="007B0B53">
        <w:lastRenderedPageBreak/>
        <w:t>já relata ações que tratam dos mesmos dispositivos questionados pelo partido. Também afirma que a demanda foi levada ao STF com base em “notícias de jornal” e que as normas que permitem a concessão do serviço funerário são constitucionais.</w:t>
      </w:r>
    </w:p>
    <w:p w:rsidR="002B1D5E" w:rsidRPr="007B0B53" w:rsidRDefault="00BF4496" w:rsidP="002B1D5E">
      <w:pPr>
        <w:pStyle w:val="NormalWeb"/>
        <w:shd w:val="clear" w:color="auto" w:fill="FFFFFF"/>
        <w:spacing w:before="240" w:beforeAutospacing="0" w:after="0" w:afterAutospacing="0"/>
        <w:jc w:val="both"/>
        <w:textAlignment w:val="baseline"/>
      </w:pPr>
      <w:r w:rsidRPr="007B0B53">
        <w:t xml:space="preserve">STF (ADI 6925, in Notícias STF 12.05.2025) Norma que proíbe linguagem neutra em escolas e prédios públicos de SC é inválida, decide STF - </w:t>
      </w:r>
      <w:r w:rsidRPr="007B0B53">
        <w:rPr>
          <w:spacing w:val="-5"/>
        </w:rPr>
        <w:t>Conforme entendimento da Corte, somente a União pode editar leis sobre a base nacional da educação -</w:t>
      </w:r>
      <w:r w:rsidRPr="007B0B53">
        <w:t xml:space="preserve"> O Supremo Tribunal Federal (STF) invalidou norma do Estado de Santa Catarina que proibia o uso de linguagem neutra, sem designação de gênero masculino ou feminino, em escolas e órgãos públicos estaduais. A decisão foi tomada por unanimidade no julgamento virtual da Ação Direta de Inconstitucionalidade </w:t>
      </w:r>
      <w:r w:rsidRPr="007B0B53">
        <w:rPr>
          <w:rStyle w:val="Forte"/>
          <w:rFonts w:eastAsiaTheme="majorEastAsia"/>
          <w:b w:val="0"/>
        </w:rPr>
        <w:t>(ADI) 6925</w:t>
      </w:r>
      <w:r w:rsidRPr="007B0B53">
        <w:t>, concluída em 6/5. A vedação estava prevista no Decreto estadual 1.329/2021, que impedia ainda o uso da chamada “linguagem não binária” – com terminações neutras como “x”, @ ou “u” (</w:t>
      </w:r>
      <w:proofErr w:type="spellStart"/>
      <w:r w:rsidRPr="007B0B53">
        <w:t>elu</w:t>
      </w:r>
      <w:proofErr w:type="spellEnd"/>
      <w:r w:rsidRPr="007B0B53">
        <w:t xml:space="preserve">) – em documentos oficiais. A ação foi proposta pelo Partido dos Trabalhadores (PT). </w:t>
      </w:r>
      <w:r w:rsidRPr="007B0B53">
        <w:rPr>
          <w:rStyle w:val="Forte"/>
          <w:b w:val="0"/>
          <w:bCs w:val="0"/>
        </w:rPr>
        <w:t>Base nacional curricular -</w:t>
      </w:r>
      <w:r w:rsidRPr="007B0B53">
        <w:t xml:space="preserve"> O colegiado seguiu o voto do relator, ministro Nunes Marques, que lembrou que o STF, em diversas ocasiões, já definiu que é da União a competência para editar normas que garantam uma base curricular única e nacional para a educação infantil e os ensinos fundamental e médio, como estabelece a Lei de Diretrizes e Bases da Educação Nacional (LDB – Lei 9.394/1996). Marques observou que estados e demais unidades federativas podem atuar de forma concorrente, desde que suas medidas não afetem o que está estabelecido em lei federal. De acordo com o relator, o STF considera que tanto a proibição do uso de determinada modalidade da língua portuguesa como sua imposição ferem a Constituição Federal. Para Nunes Marques, qualquer tentativa estadual ou municipal de impor mudanças ao idioma por meio de disposição normativa, como se a língua pudesse ser moldada mediante decreto, será ineficaz.</w:t>
      </w:r>
      <w:r w:rsidR="00F6026C" w:rsidRPr="007B0B53">
        <w:t xml:space="preserve"> - </w:t>
      </w:r>
      <w:r w:rsidR="00965444" w:rsidRPr="007B0B53">
        <w:t xml:space="preserve">STF </w:t>
      </w:r>
      <w:r w:rsidR="002B1D5E" w:rsidRPr="007B0B53">
        <w:t xml:space="preserve">(ADI 6925, in </w:t>
      </w:r>
      <w:proofErr w:type="spellStart"/>
      <w:r w:rsidR="002B1D5E" w:rsidRPr="007B0B53">
        <w:t>Conjur</w:t>
      </w:r>
      <w:proofErr w:type="spellEnd"/>
      <w:r w:rsidR="002B1D5E" w:rsidRPr="007B0B53">
        <w:t xml:space="preserve"> 10.05.2025</w:t>
      </w:r>
      <w:r w:rsidR="006967E8" w:rsidRPr="007B0B53">
        <w:t xml:space="preserve"> e Informativo STF 1176</w:t>
      </w:r>
      <w:r w:rsidR="002B1D5E" w:rsidRPr="007B0B53">
        <w:t>) Espaço invadido – STF derruba decreto de SC que proibia linguagem neutra em escolas - É incompatível com a Constituição Federal qualquer lei estadual ou municipal que imponha ou proíba o ensino da linguagem neutra ou de qualquer outra forma não uniformizada da língua portuguesa. A conclusão é do Supremo Tribunal Federal, que derrubou mais uma norma estadual que proi</w:t>
      </w:r>
      <w:r w:rsidR="006967E8" w:rsidRPr="007B0B53">
        <w:t>bia a chamada linguagem neutra -</w:t>
      </w:r>
      <w:r w:rsidR="002B1D5E" w:rsidRPr="007B0B53">
        <w:t xml:space="preserve"> aquela que afasta o gênero das palavras. Trata-se do Decreto 1.329/2021, de Santa Catarina, que veda novas formas de flexão de gênero e de número das palavras da língua portuguesa em instituições de ensino e bancas examinadoras de seleção e concursos públicos. A inconstitucionalidade é formal: a norma estadual, ao dispor sobre o uso da língua portuguesa, invadiu competência privativa da União, a quem cabe legislar sobre diretrizes e bases da educação nacional. O STF já </w:t>
      </w:r>
      <w:r w:rsidR="002B1D5E" w:rsidRPr="007B0B53">
        <w:rPr>
          <w:bCs/>
        </w:rPr>
        <w:t>firmou posição</w:t>
      </w:r>
      <w:r w:rsidR="002B1D5E" w:rsidRPr="007B0B53">
        <w:t> para </w:t>
      </w:r>
      <w:r w:rsidR="002B1D5E" w:rsidRPr="007B0B53">
        <w:rPr>
          <w:bCs/>
        </w:rPr>
        <w:t>derrubar ou suspender</w:t>
      </w:r>
      <w:r w:rsidR="002B1D5E" w:rsidRPr="007B0B53">
        <w:t> outras leis municipais e estaduais que </w:t>
      </w:r>
      <w:r w:rsidR="002B1D5E" w:rsidRPr="007B0B53">
        <w:rPr>
          <w:bCs/>
        </w:rPr>
        <w:t>buscaram vetar o uso de linguagem neutra</w:t>
      </w:r>
      <w:r w:rsidR="006967E8" w:rsidRPr="007B0B53">
        <w:rPr>
          <w:bCs/>
        </w:rPr>
        <w:t xml:space="preserve"> [Precedentes citados: ADPF 1165; ADPF 1166; ADPF 1151; ADI-MC-</w:t>
      </w:r>
      <w:proofErr w:type="spellStart"/>
      <w:r w:rsidR="006967E8" w:rsidRPr="007B0B53">
        <w:rPr>
          <w:bCs/>
        </w:rPr>
        <w:t>Ref</w:t>
      </w:r>
      <w:proofErr w:type="spellEnd"/>
      <w:r w:rsidR="006967E8" w:rsidRPr="007B0B53">
        <w:rPr>
          <w:bCs/>
        </w:rPr>
        <w:t xml:space="preserve"> 7644; ADPF-MC-</w:t>
      </w:r>
      <w:proofErr w:type="spellStart"/>
      <w:r w:rsidR="006967E8" w:rsidRPr="007B0B53">
        <w:rPr>
          <w:bCs/>
        </w:rPr>
        <w:t>Ref</w:t>
      </w:r>
      <w:proofErr w:type="spellEnd"/>
      <w:r w:rsidR="006967E8" w:rsidRPr="007B0B53">
        <w:rPr>
          <w:bCs/>
        </w:rPr>
        <w:t xml:space="preserve"> 1159; ADPF 1155-MC-Ref]</w:t>
      </w:r>
      <w:r w:rsidR="002B1D5E" w:rsidRPr="007B0B53">
        <w:t>. Língua em transformação - O voto do relator, ministro Nunes Marques, que foi acompanhado por unanimidade no julgamento virtual encerrado nesta sexta-feira (9/5), acrescentou a inconstitucionalidade material do decreto catarinense. “Considero inconstitucionais tanto a proibição do uso de determinada modalidade da língua portuguesa como sua imposição. Seria igualmente incompatível com nossa Lei Maior norma estadual ou municipal que impusesse o ensino da linguagem neutra ou de qualquer outra forma não uniformizada do idioma oficial”, disse. O relator explica que a língua de um país é resultado de séculos de evolução e reflete, para além da própria cultura, aspectos fundamentais da estruturação lógica do pensamento dos cidadãos. Ele ressaltou ainda a importância de existir um Acordo Ortográfico da Língua Portuguesa, firmado entre os países lusófonos, como forma de manter um vocabulário ortográfico geral comum. “Por tudo isso, entendo, sempre com o mais elevado respeito a quem pense de maneira diferente, que qualquer tentativa de impor mudanças ao idioma por meio de disposição normativa, como se a língua pudesse ser moldada mediante decreto, será ineficaz”, disse.</w:t>
      </w:r>
    </w:p>
    <w:p w:rsidR="00277693" w:rsidRPr="007B0B53" w:rsidRDefault="002B1D5E" w:rsidP="00277693">
      <w:pPr>
        <w:pStyle w:val="NormalWeb"/>
        <w:shd w:val="clear" w:color="auto" w:fill="FFFFFF"/>
        <w:spacing w:before="240" w:beforeAutospacing="0" w:after="0" w:afterAutospacing="0"/>
        <w:jc w:val="both"/>
        <w:textAlignment w:val="baseline"/>
      </w:pPr>
      <w:r w:rsidRPr="007B0B53">
        <w:t xml:space="preserve">STF </w:t>
      </w:r>
      <w:r w:rsidR="00277693" w:rsidRPr="007B0B53">
        <w:t xml:space="preserve">(SL 1696, in Notícias STF 08.05.2025) STF homologa acordo que amplia uso de câmeras corporais na PM de São Paulo - </w:t>
      </w:r>
      <w:r w:rsidR="00277693" w:rsidRPr="007B0B53">
        <w:rPr>
          <w:spacing w:val="-5"/>
        </w:rPr>
        <w:t xml:space="preserve">O anúncio foi feito no início da sessão plenária pelo presidente, ministro Luís Roberto Barroso - </w:t>
      </w:r>
      <w:r w:rsidR="00277693" w:rsidRPr="007B0B53">
        <w:t xml:space="preserve"> O presidente do Supremo Tribunal Federal (STF), ministro Luís Roberto Barroso, homologou acordo que amplia o uso obrigatório de câmeras corporais por policiais militares em São Paulo. O anúncio foi feito pelo ministro no início da sessão plenária desta quinta-feira (8). A conciliação ocorreu no âmbito da Suspensão de Liminar </w:t>
      </w:r>
      <w:r w:rsidR="00277693" w:rsidRPr="007B0B53">
        <w:rPr>
          <w:rStyle w:val="Forte"/>
          <w:rFonts w:eastAsiaTheme="majorEastAsia"/>
          <w:b w:val="0"/>
        </w:rPr>
        <w:t>(SL) 1696</w:t>
      </w:r>
      <w:r w:rsidR="00277693" w:rsidRPr="007B0B53">
        <w:t xml:space="preserve">, apresentada pela Defensoria Pública do estado, e foi conduzida pela juíza auxiliar do Gabinete da Presidência, </w:t>
      </w:r>
      <w:proofErr w:type="spellStart"/>
      <w:r w:rsidR="00277693" w:rsidRPr="007B0B53">
        <w:t>Trícia</w:t>
      </w:r>
      <w:proofErr w:type="spellEnd"/>
      <w:r w:rsidR="00277693" w:rsidRPr="007B0B53">
        <w:t xml:space="preserve"> Navarro, supervisora do Núcleo de Solução Consensual de Conflitos do STF (</w:t>
      </w:r>
      <w:proofErr w:type="spellStart"/>
      <w:r w:rsidR="00277693" w:rsidRPr="007B0B53">
        <w:t>Nusol</w:t>
      </w:r>
      <w:proofErr w:type="spellEnd"/>
      <w:r w:rsidR="00277693" w:rsidRPr="007B0B53">
        <w:t xml:space="preserve">). </w:t>
      </w:r>
      <w:r w:rsidR="00277693" w:rsidRPr="007B0B53">
        <w:rPr>
          <w:rStyle w:val="Forte"/>
          <w:b w:val="0"/>
          <w:bCs w:val="0"/>
        </w:rPr>
        <w:t>Número de câmeras -</w:t>
      </w:r>
      <w:r w:rsidR="00277693" w:rsidRPr="007B0B53">
        <w:t xml:space="preserve"> Conforme o acordo, haverá um termo aditivo no </w:t>
      </w:r>
      <w:r w:rsidR="00277693" w:rsidRPr="007B0B53">
        <w:lastRenderedPageBreak/>
        <w:t>contrato firmado entre o Estado de São Paulo e a empresa Motorola para aumentar o número de câmeras corporais (</w:t>
      </w:r>
      <w:proofErr w:type="spellStart"/>
      <w:r w:rsidR="00277693" w:rsidRPr="007B0B53">
        <w:t>COPs</w:t>
      </w:r>
      <w:proofErr w:type="spellEnd"/>
      <w:r w:rsidR="00277693" w:rsidRPr="007B0B53">
        <w:t xml:space="preserve">) em 25%, alcançando o total de 15 mil equipamentos. Também serão alocados 80% do total de câmeras para cobrir totalmente as unidades de alta e média prioridade. </w:t>
      </w:r>
      <w:r w:rsidR="00277693" w:rsidRPr="007B0B53">
        <w:rPr>
          <w:rStyle w:val="Forte"/>
          <w:b w:val="0"/>
          <w:bCs w:val="0"/>
        </w:rPr>
        <w:t>Obrigatoriedade -</w:t>
      </w:r>
      <w:r w:rsidR="00277693" w:rsidRPr="007B0B53">
        <w:t xml:space="preserve"> O uso obrigatório de câmeras vale para regiões com equipamentos disponíveis e se aplica em operações de grande porte ou que incluam incursões em comunidades vulneráveis, quando se destinarem à restauração da ordem pública. Ficou também determinado o uso obrigatório das câmeras em operações deflagradas para responder a ataques contra policiais militares. Caso seja necessário o deslocamento de tropas, policiais que usem COPS deverão ser priorizados e, se isso não for possível, é preciso apresentar razões técnicas, operacionais e/ou administrativas que justifiquem a medida. </w:t>
      </w:r>
      <w:r w:rsidR="00277693" w:rsidRPr="007B0B53">
        <w:rPr>
          <w:rStyle w:val="Forte"/>
          <w:b w:val="0"/>
          <w:bCs w:val="0"/>
        </w:rPr>
        <w:t>Funcionalidades</w:t>
      </w:r>
      <w:r w:rsidR="00277693" w:rsidRPr="007B0B53">
        <w:t xml:space="preserve"> - O Estado de São Paulo, representado pela Procuradoria Geral do Estado de São Paulo, se comprometeu a implementar o acionamento remoto das </w:t>
      </w:r>
      <w:proofErr w:type="spellStart"/>
      <w:r w:rsidR="00277693" w:rsidRPr="007B0B53">
        <w:t>COPs</w:t>
      </w:r>
      <w:proofErr w:type="spellEnd"/>
      <w:r w:rsidR="00277693" w:rsidRPr="007B0B53">
        <w:t xml:space="preserve">, por meio do Centro de Operações da Polícia Militar (COPOM), quando a ocorrência é despachada, quando o policial comunicar uma ocorrência à central de operações ou em situações obrigatórias (acesso a comunidades vulneráveis e em caso de ataques contra policiais). Entre outras funcionalidades a serem implementadas, está o acionamento automático por proximidades das </w:t>
      </w:r>
      <w:proofErr w:type="spellStart"/>
      <w:r w:rsidR="00277693" w:rsidRPr="007B0B53">
        <w:t>COPs</w:t>
      </w:r>
      <w:proofErr w:type="spellEnd"/>
      <w:r w:rsidR="00277693" w:rsidRPr="007B0B53">
        <w:t xml:space="preserve"> via Bluetooth, com alcance aproximado de 10 metros, caso em que a movimentação da ocorrência será acompanhada. Segundo o acordo, o Estado também se compromete a colocar à disposição tecnologia que permita a reativação automática da câmera caso, durante a ocorrência, o policial interrompa manualmente a gravação. Nesse caso, a câmera será reativada em até 1 minuto, assegurando que as imagens não sejam perdidas. </w:t>
      </w:r>
      <w:r w:rsidR="00277693" w:rsidRPr="007B0B53">
        <w:rPr>
          <w:rStyle w:val="Forte"/>
          <w:b w:val="0"/>
          <w:bCs w:val="0"/>
        </w:rPr>
        <w:t>Aperfeiçoamento disciplinar e educativo -</w:t>
      </w:r>
      <w:r w:rsidR="00277693" w:rsidRPr="007B0B53">
        <w:t xml:space="preserve"> Como parte das tratativas, o Estado de São Paulo se comprometeu ainda a fortalecer programa de capacitação sobre o uso adequado das câmeras, bem como a editar, no prazo de 60 dias, norma com as diretrizes e os procedimentos operacionais relativos à utilização das </w:t>
      </w:r>
      <w:proofErr w:type="spellStart"/>
      <w:r w:rsidR="00277693" w:rsidRPr="007B0B53">
        <w:t>COPs</w:t>
      </w:r>
      <w:proofErr w:type="spellEnd"/>
      <w:r w:rsidR="00277693" w:rsidRPr="007B0B53">
        <w:t xml:space="preserve"> pela PM. O objetivo é assegurar sua adequação ao novo padrão tecnológico e operacional dos equipamentos, com estruturação de um sistema disciplinar efetivo e de mecanismos de monitoramento, fiscalização e auditoria do uso de </w:t>
      </w:r>
      <w:proofErr w:type="spellStart"/>
      <w:r w:rsidR="00277693" w:rsidRPr="007B0B53">
        <w:t>COPs</w:t>
      </w:r>
      <w:proofErr w:type="spellEnd"/>
      <w:r w:rsidR="00277693" w:rsidRPr="007B0B53">
        <w:t xml:space="preserve">. Além disso, o Estado de São Paulo assumiu o compromisso de conduzir, de forma rápida e com base nas leis aplicáveis, processos administrativos disciplinares para apurar eventual descumprimento das normas relativas ao uso das câmeras. O acordo também prevê que o Ministério Público do Estado (MP-SP) deverá ser comunicado mensalmente sobre todos os processos administrativos instaurados. Relatórios semestrais deverão ser divulgados sobre a atividade disciplinar, em razão do uso inadequado de </w:t>
      </w:r>
      <w:proofErr w:type="spellStart"/>
      <w:r w:rsidR="00277693" w:rsidRPr="007B0B53">
        <w:t>COPs</w:t>
      </w:r>
      <w:proofErr w:type="spellEnd"/>
      <w:r w:rsidR="00277693" w:rsidRPr="007B0B53">
        <w:t xml:space="preserve">. </w:t>
      </w:r>
      <w:r w:rsidR="00277693" w:rsidRPr="007B0B53">
        <w:rPr>
          <w:rStyle w:val="Forte"/>
          <w:b w:val="0"/>
          <w:bCs w:val="0"/>
        </w:rPr>
        <w:t>Transparência e monitoramento</w:t>
      </w:r>
      <w:r w:rsidR="00277693" w:rsidRPr="007B0B53">
        <w:t xml:space="preserve"> - Por fim, ficou definido que, no prazo de 60 dias, o Estado de São Paulo desenvolverá indicadores para monitorar e avaliar a efetividade das novas </w:t>
      </w:r>
      <w:proofErr w:type="spellStart"/>
      <w:r w:rsidR="00277693" w:rsidRPr="007B0B53">
        <w:t>COPs</w:t>
      </w:r>
      <w:proofErr w:type="spellEnd"/>
      <w:r w:rsidR="00277693" w:rsidRPr="007B0B53">
        <w:t xml:space="preserve">, em diálogo com o MP e a Defensoria Pública estadual. Entre outras deliberações, está a realização de auditorias; publicação de relatório anual de monitoramento e avaliação da política pública nos moldes atuais; envio de relatórios trimestrais ao MP e à DPE, por até seis meses após o fim da implementação das 15 mil câmeras. </w:t>
      </w:r>
      <w:r w:rsidR="00277693" w:rsidRPr="007B0B53">
        <w:rPr>
          <w:rStyle w:val="Forte"/>
          <w:b w:val="0"/>
          <w:bCs w:val="0"/>
        </w:rPr>
        <w:t>Equilíbrio entre valores constitucionais</w:t>
      </w:r>
      <w:r w:rsidR="00277693" w:rsidRPr="007B0B53">
        <w:t xml:space="preserve"> - Em sua fala na sessão, o ministro ressaltou que o consenso alcançado é resultado da atuação técnica e colaborativa do Estado de São Paulo, da Defensoria Pública e do Ministério Público do Estado de São Paulo. Segundo ele, o acordo alcança um ponto de equilíbrio importante entre dois valores constitucionais centrais: a liberdade da Administração Pública para desenhar e aprimorar suas políticas públicas e a necessidade de respeito aos direitos fundamentais, especialmente das pessoas em situação de maior vulnerabilidade. O presidente observou que a condução do caso envolveu duas visitas técnicas à Secretaria de Segurança Pública do Estado de São Paulo para compreender questões técnicas relacionadas às novas câmeras. O ministro Luís Roberto Barroso participou pessoalmente da visita realizada no dia 14/02/25, com a presença de autoridades estaduais, entre elas o governador do Estado, Tarcísio de Freitas. O ministro informou que, a partir de agora, a questão será acompanhada pela 11ª Vara da Fazenda Pública da Capital do Estado de São Paulo, onde já tramitava uma ação civil pública que deu origem à SL no Supremo. Porém, ressaltou que em caso de descumprimento do acordo a Presidência do STF voltará a atuar no processo. Barroso destacou que a segurança pública é o “topo da prioridade da agenda nacional”. Ao comentar a implementação de outras decisões do Supremo sobre segurança pública, como a ADPF das Favelas </w:t>
      </w:r>
      <w:r w:rsidR="00277693" w:rsidRPr="007B0B53">
        <w:rPr>
          <w:rStyle w:val="Forte"/>
          <w:rFonts w:eastAsiaTheme="majorEastAsia"/>
          <w:b w:val="0"/>
        </w:rPr>
        <w:t>(ADPF 635)</w:t>
      </w:r>
      <w:r w:rsidR="00277693" w:rsidRPr="007B0B53">
        <w:t>, no Rio de Janeiro, e o plano Pena Justa, para melhoria das prisões, ele afirmou que encaminhará ao Poder Executivo e ao Congresso as preocupações do Supremo quanto à liberação de recursos para esses temas.</w:t>
      </w:r>
    </w:p>
    <w:p w:rsidR="000E4AFA" w:rsidRPr="007B0B53" w:rsidRDefault="00277693" w:rsidP="000E4AFA">
      <w:pPr>
        <w:pStyle w:val="NormalWeb"/>
        <w:shd w:val="clear" w:color="auto" w:fill="FFFFFF"/>
        <w:spacing w:before="240" w:beforeAutospacing="0" w:after="0" w:afterAutospacing="0"/>
        <w:jc w:val="both"/>
        <w:textAlignment w:val="baseline"/>
      </w:pPr>
      <w:r w:rsidRPr="007B0B53">
        <w:t xml:space="preserve">STF </w:t>
      </w:r>
      <w:r w:rsidR="000E4AFA" w:rsidRPr="007B0B53">
        <w:t xml:space="preserve">(ADI 7809, </w:t>
      </w:r>
      <w:r w:rsidR="00E16AE8" w:rsidRPr="007B0B53">
        <w:t>in Notícias STF</w:t>
      </w:r>
      <w:r w:rsidR="000E4AFA" w:rsidRPr="007B0B53">
        <w:t xml:space="preserve"> 05.05.2025) </w:t>
      </w:r>
      <w:r w:rsidR="00A34AD6" w:rsidRPr="007B0B53">
        <w:t xml:space="preserve">Programa de escolas cívico-militares de SC é questionado no STF - </w:t>
      </w:r>
      <w:r w:rsidR="00A34AD6" w:rsidRPr="007B0B53">
        <w:rPr>
          <w:spacing w:val="-5"/>
        </w:rPr>
        <w:t xml:space="preserve">Entre os argumentos, CNTE sustenta violação ao princípio da separação dos poderes </w:t>
      </w:r>
      <w:r w:rsidR="000E4AFA" w:rsidRPr="007B0B53">
        <w:t xml:space="preserve">- </w:t>
      </w:r>
      <w:r w:rsidR="000E4AFA" w:rsidRPr="007B0B53">
        <w:rPr>
          <w:shd w:val="clear" w:color="auto" w:fill="FFFFFF"/>
        </w:rPr>
        <w:t xml:space="preserve">A </w:t>
      </w:r>
      <w:r w:rsidR="000E4AFA" w:rsidRPr="007B0B53">
        <w:rPr>
          <w:shd w:val="clear" w:color="auto" w:fill="FFFFFF"/>
        </w:rPr>
        <w:lastRenderedPageBreak/>
        <w:t xml:space="preserve">Confederação Nacional dos Trabalhadores em Educação (CNTE) questionou a validade do programa que instituiu as escolas cívico-militares em Santa Catarina. A ação direta de inconstitucionalidade foi distribuída ao ministro Dias </w:t>
      </w:r>
      <w:proofErr w:type="spellStart"/>
      <w:r w:rsidR="000E4AFA" w:rsidRPr="007B0B53">
        <w:rPr>
          <w:shd w:val="clear" w:color="auto" w:fill="FFFFFF"/>
        </w:rPr>
        <w:t>Toffoli</w:t>
      </w:r>
      <w:proofErr w:type="spellEnd"/>
      <w:r w:rsidR="000E4AFA" w:rsidRPr="007B0B53">
        <w:rPr>
          <w:shd w:val="clear" w:color="auto" w:fill="FFFFFF"/>
        </w:rPr>
        <w:t>, que decidiu submeter o caso diretamente ao Plenário e pediu informações ao governador do estado.</w:t>
      </w:r>
      <w:r w:rsidR="000E4AFA" w:rsidRPr="007B0B53">
        <w:t xml:space="preserve"> </w:t>
      </w:r>
      <w:r w:rsidR="000E4AFA" w:rsidRPr="007B0B53">
        <w:rPr>
          <w:shd w:val="clear" w:color="auto" w:fill="FFFFFF"/>
        </w:rPr>
        <w:t xml:space="preserve">O objeto de questionamento é o Decreto estadual 426/2023, que criou o programa. Segundo a CNTE, o modelo cívico-militar fere princípios constitucionais e compromete a gestão democrática do ensino público. Entre seus argumentos está o de que, ao permitir que militares da reserva, ligados à Secretaria de Segurança Pública, atuem diretamente na gestão escolar, o programa compromete a autonomia da Secretaria de Educação. </w:t>
      </w:r>
      <w:r w:rsidR="000E4AFA" w:rsidRPr="007B0B53">
        <w:t>Para a confederação, a militarização também pode impor valores e práticas disciplinares incompatíveis com o pluralismo de ideias e a liberdade de expressão previstos na Constituição. Outro argumento é o de que o investimento do estado nas escolas cívico-militares, por aluno, é quase o dobro do das demais escolas estaduais.</w:t>
      </w:r>
      <w:r w:rsidR="000E4AFA" w:rsidRPr="007B0B53">
        <w:rPr>
          <w:shd w:val="clear" w:color="auto" w:fill="FFFFFF"/>
        </w:rPr>
        <w:t xml:space="preserve"> </w:t>
      </w:r>
      <w:r w:rsidR="000E4AFA" w:rsidRPr="007B0B53">
        <w:t>Por fim, a CNTE alega que o modelo adotado no estado é diferente do estabelecido na Lei de Diretrizes e Bases da Educação (LDB, Lei 9394/1996), que prevê apenas dois tipos de escolas públicas: a básica e a militar. </w:t>
      </w:r>
    </w:p>
    <w:p w:rsidR="00EA4A65" w:rsidRPr="007B0B53" w:rsidRDefault="000E4AFA" w:rsidP="00AA5DD9">
      <w:pPr>
        <w:pStyle w:val="NormalWeb"/>
        <w:shd w:val="clear" w:color="auto" w:fill="FFFFFF"/>
        <w:spacing w:before="240" w:beforeAutospacing="0" w:after="0" w:afterAutospacing="0"/>
        <w:jc w:val="both"/>
        <w:textAlignment w:val="baseline"/>
      </w:pPr>
      <w:r w:rsidRPr="007B0B53">
        <w:t xml:space="preserve">STF </w:t>
      </w:r>
      <w:r w:rsidR="00EA4A65" w:rsidRPr="007B0B53">
        <w:t xml:space="preserve">(ADPF 1158, ADPF 1162, ADPF 1164, in Notícias STF 29.04.2025) Supremo invalida mais três leis municipais que proíbem linguagem neutra em escolas - </w:t>
      </w:r>
      <w:r w:rsidR="00EA4A65" w:rsidRPr="007B0B53">
        <w:rPr>
          <w:spacing w:val="-5"/>
        </w:rPr>
        <w:t>Decisões seguem entendimento de que competência para legislar sobre educação é da União -</w:t>
      </w:r>
      <w:r w:rsidR="00EA4A65" w:rsidRPr="007B0B53">
        <w:t xml:space="preserve"> O Supremo Tribunal Federal (STF) julgou inconstitucionais leis dos municípios de Porto Alegre (RS), Muriaé (MG) e São Gonçalo (RJ) que proibiam o ensino de “linguagem neutra” em escolas públicas e privadas e previam sanções a estabelecimentos e a profissionais de educação em caso de descumprimento das normas. A decisão foi tomada no julgamento das Arguições de Descumprimento de Preceito Fundamental (</w:t>
      </w:r>
      <w:proofErr w:type="spellStart"/>
      <w:r w:rsidR="00EA4A65" w:rsidRPr="007B0B53">
        <w:t>ADPFs</w:t>
      </w:r>
      <w:proofErr w:type="spellEnd"/>
      <w:r w:rsidR="00EA4A65" w:rsidRPr="007B0B53">
        <w:t>) </w:t>
      </w:r>
      <w:r w:rsidR="00EA4A65" w:rsidRPr="007B0B53">
        <w:rPr>
          <w:rStyle w:val="Forte"/>
          <w:rFonts w:eastAsiaTheme="majorEastAsia"/>
          <w:b w:val="0"/>
        </w:rPr>
        <w:t>1158</w:t>
      </w:r>
      <w:r w:rsidR="00EA4A65" w:rsidRPr="007B0B53">
        <w:t>, </w:t>
      </w:r>
      <w:r w:rsidR="00EA4A65" w:rsidRPr="007B0B53">
        <w:rPr>
          <w:rStyle w:val="Forte"/>
          <w:rFonts w:eastAsiaTheme="majorEastAsia"/>
          <w:b w:val="0"/>
        </w:rPr>
        <w:t>1162</w:t>
      </w:r>
      <w:r w:rsidR="00EA4A65" w:rsidRPr="007B0B53">
        <w:t> e </w:t>
      </w:r>
      <w:r w:rsidR="00EA4A65" w:rsidRPr="007B0B53">
        <w:rPr>
          <w:rStyle w:val="Forte"/>
          <w:rFonts w:eastAsiaTheme="majorEastAsia"/>
          <w:b w:val="0"/>
        </w:rPr>
        <w:t>1164</w:t>
      </w:r>
      <w:r w:rsidR="00EA4A65" w:rsidRPr="007B0B53">
        <w:t xml:space="preserve">, na sessão virtual encerrada em 24/4. As ações foram propostas pela Aliança Nacional LGBTI+ e pela Associação Brasileira de Famílias </w:t>
      </w:r>
      <w:proofErr w:type="spellStart"/>
      <w:r w:rsidR="00EA4A65" w:rsidRPr="007B0B53">
        <w:t>Homotransafetivas</w:t>
      </w:r>
      <w:proofErr w:type="spellEnd"/>
      <w:r w:rsidR="00EA4A65" w:rsidRPr="007B0B53">
        <w:t xml:space="preserve"> (</w:t>
      </w:r>
      <w:proofErr w:type="spellStart"/>
      <w:r w:rsidR="00EA4A65" w:rsidRPr="007B0B53">
        <w:t>Abrafh</w:t>
      </w:r>
      <w:proofErr w:type="spellEnd"/>
      <w:r w:rsidR="00EA4A65" w:rsidRPr="007B0B53">
        <w:t>). O relator das ações, ministro André Mendonça, destacou que há sucessivos julgados no STF no sentido de que estados e municípios devem observar as normas gerais editadas pela União, em especial a Lei de Diretrizes e Bases da Educação (Lei 9.394/1996) e as disposições da Base Nacional Comum Curricular.</w:t>
      </w:r>
    </w:p>
    <w:p w:rsidR="00AA5DD9" w:rsidRPr="007B0B53" w:rsidRDefault="00EA4A65" w:rsidP="00AA5DD9">
      <w:pPr>
        <w:pStyle w:val="NormalWeb"/>
        <w:shd w:val="clear" w:color="auto" w:fill="FFFFFF"/>
        <w:spacing w:before="240" w:beforeAutospacing="0" w:after="0" w:afterAutospacing="0"/>
        <w:jc w:val="both"/>
        <w:textAlignment w:val="baseline"/>
      </w:pPr>
      <w:r w:rsidRPr="007B0B53">
        <w:t xml:space="preserve">STF </w:t>
      </w:r>
      <w:r w:rsidR="009407F0" w:rsidRPr="007B0B53">
        <w:t>(</w:t>
      </w:r>
      <w:r w:rsidR="00AA5DD9" w:rsidRPr="007B0B53">
        <w:t>ADI 5758</w:t>
      </w:r>
      <w:r w:rsidR="003D4D6C" w:rsidRPr="007B0B53">
        <w:t>, in Notícias STF 24.04.2025</w:t>
      </w:r>
      <w:r w:rsidR="00355DCE" w:rsidRPr="007B0B53">
        <w:t xml:space="preserve"> e Informativo STF 1173</w:t>
      </w:r>
      <w:r w:rsidR="009407F0" w:rsidRPr="007B0B53">
        <w:t>)</w:t>
      </w:r>
      <w:r w:rsidR="003D4D6C" w:rsidRPr="007B0B53">
        <w:t xml:space="preserve"> STF valida lei de SC que prevê distribuição gratuita de análogos de insulina - </w:t>
      </w:r>
      <w:r w:rsidR="003D4D6C" w:rsidRPr="007B0B53">
        <w:rPr>
          <w:spacing w:val="-5"/>
        </w:rPr>
        <w:t>Para o Plenário, legislação estadual busca concretizar o caráter universal do SUS e democratizar o acesso a terapias comprovadamente eficazes -</w:t>
      </w:r>
      <w:r w:rsidR="00AA5DD9" w:rsidRPr="007B0B53">
        <w:t xml:space="preserve"> O Supremo Tribunal Federal (STF) julgou constitucional uma lei de Santa Catarina que prevê a distribuição gratuita, pelo Sistema Único de Saúde (SUS), de análogos de insulina a pessoas com diabetes tipos 1 e 2 inscritas em programa de educação para diabéticos. A decisão, unânime, foi tomada na sessão virtual encerrada em 11/4, no julgamento da Ação Direta de Inconstitucionalidade </w:t>
      </w:r>
      <w:r w:rsidR="00AA5DD9" w:rsidRPr="007B0B53">
        <w:rPr>
          <w:rStyle w:val="Forte"/>
          <w:rFonts w:eastAsiaTheme="majorEastAsia"/>
          <w:b w:val="0"/>
        </w:rPr>
        <w:t>(ADI) 5758</w:t>
      </w:r>
      <w:r w:rsidR="00AA5DD9" w:rsidRPr="007B0B53">
        <w:t xml:space="preserve">. A Lei estadual 17.110/2017 foi questionada pelo governo de Santa Catarina, que alegava, entre outros pontos, que a norma, por ter origem parlamentar, teria invadido a competência privativa do chefe do Executivo estadual para tratar da matéria. Além disso, a lei violaria os postulados da seguridade social, especialmente a universalidade e a igualdade de acesso a ações e serviços de saúde. </w:t>
      </w:r>
      <w:r w:rsidR="00AA5DD9" w:rsidRPr="007B0B53">
        <w:rPr>
          <w:rStyle w:val="Forte"/>
          <w:b w:val="0"/>
          <w:bCs w:val="0"/>
        </w:rPr>
        <w:t>Iniciativa</w:t>
      </w:r>
      <w:r w:rsidR="00AA5DD9" w:rsidRPr="007B0B53">
        <w:t xml:space="preserve"> - Em seu voto, o relator, ministro Nunes Marques, afastou o argumento de invasão da competência do governador. Segundo o ministro, apesar de estabelecer política pública, a lei estadual não cria órgão nem disciplina a organização e o funcionamento da administração pública. Nunes também destacou que a Constituição confere à União, aos estados e ao Distrito Federal a competência legislativa sobre proteção e defesa da saúde. E, em razão da descentralização político-administrativa do SUS, o Supremo admite que os estados, além de suprir eventuais lacunas nas normas gerais federais, editem normas específicas para atender a suas peculiaridades locais</w:t>
      </w:r>
      <w:r w:rsidR="00355DCE" w:rsidRPr="007B0B53">
        <w:t xml:space="preserve"> [Precedentes citados: ADI 2341 e ADI-MC-</w:t>
      </w:r>
      <w:proofErr w:type="spellStart"/>
      <w:r w:rsidR="00355DCE" w:rsidRPr="007B0B53">
        <w:t>Ref</w:t>
      </w:r>
      <w:proofErr w:type="spellEnd"/>
      <w:r w:rsidR="00355DCE" w:rsidRPr="007B0B53">
        <w:t xml:space="preserve"> 6341]</w:t>
      </w:r>
      <w:r w:rsidR="00AA5DD9" w:rsidRPr="007B0B53">
        <w:t xml:space="preserve">. </w:t>
      </w:r>
      <w:r w:rsidR="00AA5DD9" w:rsidRPr="007B0B53">
        <w:rPr>
          <w:rStyle w:val="Forte"/>
          <w:b w:val="0"/>
          <w:bCs w:val="0"/>
        </w:rPr>
        <w:t>Ampliação do acesso à saúde</w:t>
      </w:r>
      <w:r w:rsidR="00AA5DD9" w:rsidRPr="007B0B53">
        <w:t xml:space="preserve"> - O ministro ressaltou, ainda, que a lei catarinense busca concretizar o caráter universal e igualitário do SUS, democratizando o acesso a terapêuticas comprovadamente eficazes, “sobretudo por pretender universalizar o tratamento de diabetes de difícil controle com a medicação convencional”. Além disso, ele lembrou que o Ministério da Saúde, por meio de uma portaria de 2017, incorporou ao SUS os análogos de insulina, o que reforça a observância de evidências científicas sobre a segurança do tratamento.</w:t>
      </w:r>
    </w:p>
    <w:p w:rsidR="008019E8" w:rsidRPr="007B0B53" w:rsidRDefault="00361365" w:rsidP="008019E8">
      <w:pPr>
        <w:pStyle w:val="NormalWeb"/>
        <w:shd w:val="clear" w:color="auto" w:fill="FFFFFF"/>
        <w:spacing w:before="240" w:beforeAutospacing="0" w:after="0" w:afterAutospacing="0"/>
        <w:jc w:val="both"/>
        <w:textAlignment w:val="baseline"/>
        <w:rPr>
          <w:spacing w:val="-5"/>
        </w:rPr>
      </w:pPr>
      <w:r w:rsidRPr="007B0B53">
        <w:t xml:space="preserve">STF </w:t>
      </w:r>
      <w:r w:rsidR="008019E8" w:rsidRPr="007B0B53">
        <w:t xml:space="preserve">(ADI 7806, in Notícias STF 22.04.2025) Entidades questionam resolução do Conselho Federal de Medicina que restringe terapias de mudança de gênero - </w:t>
      </w:r>
      <w:r w:rsidR="008019E8" w:rsidRPr="007B0B53">
        <w:rPr>
          <w:spacing w:val="-5"/>
        </w:rPr>
        <w:t xml:space="preserve">Ação foi distribuída ao ministro Cristiano Zanin – </w:t>
      </w:r>
      <w:r w:rsidR="008019E8" w:rsidRPr="007B0B53">
        <w:t>A Associação Nacional de Travestis e Transexuais (</w:t>
      </w:r>
      <w:proofErr w:type="spellStart"/>
      <w:r w:rsidR="008019E8" w:rsidRPr="007B0B53">
        <w:t>Antra</w:t>
      </w:r>
      <w:proofErr w:type="spellEnd"/>
      <w:r w:rsidR="008019E8" w:rsidRPr="007B0B53">
        <w:t xml:space="preserve">) e o Instituto Brasileiro de </w:t>
      </w:r>
      <w:proofErr w:type="spellStart"/>
      <w:r w:rsidR="008019E8" w:rsidRPr="007B0B53">
        <w:t>Transmasculinidades</w:t>
      </w:r>
      <w:proofErr w:type="spellEnd"/>
      <w:r w:rsidR="008019E8" w:rsidRPr="007B0B53">
        <w:t xml:space="preserve"> (</w:t>
      </w:r>
      <w:proofErr w:type="spellStart"/>
      <w:r w:rsidR="008019E8" w:rsidRPr="007B0B53">
        <w:t>Ibrat</w:t>
      </w:r>
      <w:proofErr w:type="spellEnd"/>
      <w:r w:rsidR="008019E8" w:rsidRPr="007B0B53">
        <w:t xml:space="preserve">) acionaram o Supremo Tribunal Federal (STF) contra resolução do Conselho Federal de Medicina </w:t>
      </w:r>
      <w:r w:rsidR="008019E8" w:rsidRPr="007B0B53">
        <w:lastRenderedPageBreak/>
        <w:t>(CFM) que restringe terapias e cirurgias de mudança de gênero em crianças e adolescentes. A Ação Direta de Inconstitucionalidade </w:t>
      </w:r>
      <w:r w:rsidR="008019E8" w:rsidRPr="007B0B53">
        <w:rPr>
          <w:rStyle w:val="Forte"/>
          <w:rFonts w:eastAsiaTheme="majorEastAsia"/>
          <w:b w:val="0"/>
        </w:rPr>
        <w:t>(ADI) 7806</w:t>
      </w:r>
      <w:r w:rsidR="008019E8" w:rsidRPr="007B0B53">
        <w:rPr>
          <w:b/>
        </w:rPr>
        <w:t> </w:t>
      </w:r>
      <w:r w:rsidR="008019E8" w:rsidRPr="007B0B53">
        <w:t>foi distribuída ao ministro Cristiano Zanin.</w:t>
      </w:r>
      <w:r w:rsidR="008019E8" w:rsidRPr="007B0B53">
        <w:rPr>
          <w:spacing w:val="-5"/>
        </w:rPr>
        <w:t xml:space="preserve"> </w:t>
      </w:r>
      <w:r w:rsidR="008019E8" w:rsidRPr="007B0B53">
        <w:t xml:space="preserve">A Resolução 2.427/2025 do CFM, entre outros pontos, veda a prescrição de bloqueadores hormonais para crianças </w:t>
      </w:r>
      <w:proofErr w:type="spellStart"/>
      <w:r w:rsidR="008019E8" w:rsidRPr="007B0B53">
        <w:t>trans</w:t>
      </w:r>
      <w:proofErr w:type="spellEnd"/>
      <w:r w:rsidR="008019E8" w:rsidRPr="007B0B53">
        <w:t>, a administração de hormônios sexuais para induzir características secundárias condizentes com a identidade de gênero de pacientes menores de 18 anos e aumenta para 21 anos a idade mínima para cirurgia de afirmação de gênero com efeito esterilizador.</w:t>
      </w:r>
      <w:r w:rsidR="008019E8" w:rsidRPr="007B0B53">
        <w:rPr>
          <w:spacing w:val="-5"/>
        </w:rPr>
        <w:t xml:space="preserve"> </w:t>
      </w:r>
      <w:r w:rsidR="008019E8" w:rsidRPr="007B0B53">
        <w:t xml:space="preserve">Na ação, as entidades pedem que se retome a redação original da Resolução 2.265/2019 para que seja garantido o direito fundamental ao livre desenvolvimento da personalidade de crianças </w:t>
      </w:r>
      <w:proofErr w:type="spellStart"/>
      <w:r w:rsidR="008019E8" w:rsidRPr="007B0B53">
        <w:t>trans</w:t>
      </w:r>
      <w:proofErr w:type="spellEnd"/>
      <w:r w:rsidR="008019E8" w:rsidRPr="007B0B53">
        <w:t xml:space="preserve"> com o bloqueio hormonal da puberdade, a </w:t>
      </w:r>
      <w:proofErr w:type="spellStart"/>
      <w:r w:rsidR="008019E8" w:rsidRPr="007B0B53">
        <w:t>hormonização</w:t>
      </w:r>
      <w:proofErr w:type="spellEnd"/>
      <w:r w:rsidR="008019E8" w:rsidRPr="007B0B53">
        <w:t xml:space="preserve"> a partir dos 16 anos e a cirurgia de afirmação de gênero a partir dos 18 anos.</w:t>
      </w:r>
      <w:r w:rsidR="008019E8" w:rsidRPr="007B0B53">
        <w:rPr>
          <w:spacing w:val="-5"/>
        </w:rPr>
        <w:t xml:space="preserve"> </w:t>
      </w:r>
      <w:r w:rsidR="008019E8" w:rsidRPr="007B0B53">
        <w:t xml:space="preserve">Seu argumento é de que as alterações restritivas não levam em consideração evidências científicas de que esses procedimentos trazem bem-estar psicológico-social para crianças e adolescentes trans. Sustentam, ainda, que elas violam os princípios da dignidade da pessoa humana, da proteção integral da criança e do direito fundamental à identidade de gênero </w:t>
      </w:r>
      <w:proofErr w:type="spellStart"/>
      <w:r w:rsidR="008019E8" w:rsidRPr="007B0B53">
        <w:t>autopercebida</w:t>
      </w:r>
      <w:proofErr w:type="spellEnd"/>
      <w:r w:rsidR="008019E8" w:rsidRPr="007B0B53">
        <w:t xml:space="preserve">. </w:t>
      </w:r>
      <w:r w:rsidR="008019E8" w:rsidRPr="007B0B53">
        <w:rPr>
          <w:rStyle w:val="Forte"/>
          <w:b w:val="0"/>
          <w:bCs w:val="0"/>
        </w:rPr>
        <w:t>ADPF -</w:t>
      </w:r>
      <w:r w:rsidR="008019E8" w:rsidRPr="007B0B53">
        <w:rPr>
          <w:spacing w:val="-5"/>
        </w:rPr>
        <w:t xml:space="preserve"> </w:t>
      </w:r>
      <w:r w:rsidR="008019E8" w:rsidRPr="007B0B53">
        <w:t xml:space="preserve">A mesma resolução é questionada na Arguição de Descumprimento de Preceito Fundamental (ADPF) 1221 pela Aliança Nacional LGBTI+, pela Associação Brasileira de Famílias </w:t>
      </w:r>
      <w:proofErr w:type="spellStart"/>
      <w:r w:rsidR="008019E8" w:rsidRPr="007B0B53">
        <w:t>Homoafetivas</w:t>
      </w:r>
      <w:proofErr w:type="spellEnd"/>
      <w:r w:rsidR="008019E8" w:rsidRPr="007B0B53">
        <w:t xml:space="preserve"> (</w:t>
      </w:r>
      <w:proofErr w:type="spellStart"/>
      <w:r w:rsidR="008019E8" w:rsidRPr="007B0B53">
        <w:t>Abrafh</w:t>
      </w:r>
      <w:proofErr w:type="spellEnd"/>
      <w:r w:rsidR="008019E8" w:rsidRPr="007B0B53">
        <w:t>) e pela Associação Comunitária, Cultural e de Apoio Social – Fórum Nacional de Travestis e Transexuais Negra e Negros (</w:t>
      </w:r>
      <w:proofErr w:type="spellStart"/>
      <w:r w:rsidR="008019E8" w:rsidRPr="007B0B53">
        <w:t>Fonatrans</w:t>
      </w:r>
      <w:proofErr w:type="spellEnd"/>
      <w:r w:rsidR="008019E8" w:rsidRPr="007B0B53">
        <w:t xml:space="preserve">). As entidades afirmam que esta não é a primeira vez que o CFM ataca os direitos das pessoas </w:t>
      </w:r>
      <w:proofErr w:type="spellStart"/>
      <w:r w:rsidR="008019E8" w:rsidRPr="007B0B53">
        <w:t>trans</w:t>
      </w:r>
      <w:proofErr w:type="spellEnd"/>
      <w:r w:rsidR="008019E8" w:rsidRPr="007B0B53">
        <w:t xml:space="preserve">, mas, dessa vez, o ataque afeta diretamente o acesso à saúde de uma das populações mais </w:t>
      </w:r>
      <w:proofErr w:type="spellStart"/>
      <w:r w:rsidR="008019E8" w:rsidRPr="007B0B53">
        <w:t>vulnerabilizadas</w:t>
      </w:r>
      <w:proofErr w:type="spellEnd"/>
      <w:r w:rsidR="008019E8" w:rsidRPr="007B0B53">
        <w:t xml:space="preserve"> da sociedade brasileira. Segundo elas, a Resolução 2.427/2025 viola toda a ideia de medicina baseada em evidência, “em mais uma guinada ideológica </w:t>
      </w:r>
      <w:proofErr w:type="spellStart"/>
      <w:r w:rsidR="008019E8" w:rsidRPr="007B0B53">
        <w:t>anti-trans</w:t>
      </w:r>
      <w:proofErr w:type="spellEnd"/>
      <w:r w:rsidR="008019E8" w:rsidRPr="007B0B53">
        <w:t xml:space="preserve"> do Conselho Federal de Medicina”.</w:t>
      </w:r>
    </w:p>
    <w:p w:rsidR="00B37256" w:rsidRPr="007B0B53" w:rsidRDefault="008019E8" w:rsidP="00B37256">
      <w:pPr>
        <w:pStyle w:val="NormalWeb"/>
        <w:shd w:val="clear" w:color="auto" w:fill="FFFFFF"/>
        <w:spacing w:before="240" w:beforeAutospacing="0" w:after="0" w:afterAutospacing="0"/>
        <w:jc w:val="both"/>
        <w:textAlignment w:val="baseline"/>
      </w:pPr>
      <w:r w:rsidRPr="007B0B53">
        <w:t xml:space="preserve">STF </w:t>
      </w:r>
      <w:r w:rsidR="00B37256" w:rsidRPr="007B0B53">
        <w:t xml:space="preserve">(ADPF 1214, in Notícias STF 14.04.2025) STF mantém decisão que impede que Guarda Civil de São Paulo use nome de “Polícia Municipal” - </w:t>
      </w:r>
      <w:r w:rsidR="00B37256" w:rsidRPr="007B0B53">
        <w:rPr>
          <w:spacing w:val="-5"/>
        </w:rPr>
        <w:t xml:space="preserve">Segundo ministro Flávio Dino, nomenclatura é definida pela Constituição Federal e deve ser respeitada pelos municípios - </w:t>
      </w:r>
      <w:r w:rsidR="00B37256" w:rsidRPr="007B0B53">
        <w:t>O ministro Flávio Dino, do Supremo Tribunal Federal (STF), manteve decisão da Justiça de São Paulo que suspendeu a mudança de nome da Guarda Civil Metropolitana para Polícia Municipal de São Paulo. A decisão individual rejeitou pedido da Federação Nacional de Sindicatos de Guardas Municipais (</w:t>
      </w:r>
      <w:proofErr w:type="spellStart"/>
      <w:r w:rsidR="00B37256" w:rsidRPr="007B0B53">
        <w:t>Fenaguardas</w:t>
      </w:r>
      <w:proofErr w:type="spellEnd"/>
      <w:r w:rsidR="00B37256" w:rsidRPr="007B0B53">
        <w:t>) na Arguição de Descumprimento de Preceito Fundamental </w:t>
      </w:r>
      <w:r w:rsidR="00B37256" w:rsidRPr="007B0B53">
        <w:rPr>
          <w:rStyle w:val="Forte"/>
          <w:rFonts w:eastAsiaTheme="majorEastAsia"/>
          <w:b w:val="0"/>
        </w:rPr>
        <w:t>(ADPF) 1214</w:t>
      </w:r>
      <w:r w:rsidR="00B37256" w:rsidRPr="007B0B53">
        <w:t xml:space="preserve">. A alteração ocorreu em março deste ano, e, numa ação direta de inconstitucionalidade estadual, o TJ-SP deferiu liminar para suspender o trecho da Lei Orgânica do Município de São Paulo que admitia o uso do nome de Polícia Municipal. Na ADPF, a </w:t>
      </w:r>
      <w:proofErr w:type="spellStart"/>
      <w:r w:rsidR="00B37256" w:rsidRPr="007B0B53">
        <w:t>Fenaguardas</w:t>
      </w:r>
      <w:proofErr w:type="spellEnd"/>
      <w:r w:rsidR="00B37256" w:rsidRPr="007B0B53">
        <w:t xml:space="preserve"> pretende cassar essa liminar, com o argumento de que a lei não exclui a nomenclatura original nem retira sua identidade institucional, mas apenas utiliza outra denominação “sem desnaturar a instituição”. Ao negar o pedido para suspender de imediato a decisão do TJ-SP, o ministro Flávio Dino afirmou que a Constituição Federal é clara ao estabelecer que os municípios podem manter “guardas municipais”, e não “polícias municipais”. Trata-se, segundo ele, de uma opção jurídica e política deliberada, “resultado de uma escolha que reflete a distinção entre os diferentes órgãos de segurança pública”.  Dino ressaltou que tanto a Constituição Federal quanto as leis que regulamentam a segurança pública utilizam de forma sistemática o termo “guarda municipal”, como o Estatuto Geral das Guardas Municipais (Lei 13.022/2014) e a Lei 13.675/2018, que instituiu o Sistema Único de Segurança Pública (SUSP). “Permitir que um município altere essa nomenclatura por meio de lei local criaria um precedente perigoso, podendo levar à modificação arbitrária de outras instituições constitucionalmente nomeadas”, assinalou. Além do aspecto jurídico, o ministro levou em consideração os impactos administrativos e financeiros da mudança. Conforme destacado pelo TJ-SP e ratificado por Dino, a alteração de nome exigiria uma série de medidas da administração pública, como a troca de uniformes, viaturas, placas e materiais de divulgação institucional.  O ministro também apontou decisões anteriores da Corte que reconhecem as guardas municipais como integrantes do sistema de segurança pública, sem, contudo, equipará-las a polícias ou denominá-las dessa forma. A decisão será submetida a referendo do Plenário.</w:t>
      </w:r>
    </w:p>
    <w:p w:rsidR="00361365" w:rsidRPr="007B0B53" w:rsidRDefault="00B37256" w:rsidP="00361365">
      <w:pPr>
        <w:pStyle w:val="NormalWeb"/>
        <w:shd w:val="clear" w:color="auto" w:fill="FFFFFF"/>
        <w:spacing w:before="240" w:beforeAutospacing="0" w:after="0" w:afterAutospacing="0"/>
        <w:jc w:val="both"/>
        <w:textAlignment w:val="baseline"/>
      </w:pPr>
      <w:r w:rsidRPr="007B0B53">
        <w:t xml:space="preserve">STF </w:t>
      </w:r>
      <w:r w:rsidR="00361365" w:rsidRPr="007B0B53">
        <w:t xml:space="preserve">(ADPF 1099, in Notícias STF 15.04.2025) STF invalida taxa para instalação de antenas de celular em Poços de Caldas (MG) - </w:t>
      </w:r>
      <w:r w:rsidR="00361365" w:rsidRPr="007B0B53">
        <w:rPr>
          <w:spacing w:val="-5"/>
        </w:rPr>
        <w:t>Para Tribunal, trechos de duas leis do município mineiro violam competência exclusiva da União -</w:t>
      </w:r>
      <w:r w:rsidR="00361365" w:rsidRPr="007B0B53">
        <w:t xml:space="preserve"> O Supremo Tribunal Federal (STF) julgou inconstitucional a cobrança de uma taxa em Poços de Caldas (MG) como condição para que empresas de telefonia instalassem torres ou antenas de celular no município. A decisão foi tomada na Arguição de Descumprimento de Preceito Fundamental </w:t>
      </w:r>
      <w:r w:rsidR="00361365" w:rsidRPr="007B0B53">
        <w:rPr>
          <w:rStyle w:val="Forte"/>
          <w:rFonts w:eastAsiaTheme="majorEastAsia"/>
          <w:b w:val="0"/>
        </w:rPr>
        <w:t>(ADPF) 1099</w:t>
      </w:r>
      <w:r w:rsidR="00361365" w:rsidRPr="007B0B53">
        <w:t xml:space="preserve">. O ministro Cristiano Zanin, relator do caso, destacou que, segundo a jurisprudência consolidada do Tribunal, só a União pode cobrar taxas sobre equipamentos de </w:t>
      </w:r>
      <w:r w:rsidR="00361365" w:rsidRPr="007B0B53">
        <w:lastRenderedPageBreak/>
        <w:t xml:space="preserve">telecomunicações. Seu voto foi seguido por unanimidade na sessão virtual encerrada em 4 de abril. </w:t>
      </w:r>
      <w:r w:rsidR="00361365" w:rsidRPr="007B0B53">
        <w:rPr>
          <w:rStyle w:val="Forte"/>
          <w:b w:val="0"/>
          <w:bCs w:val="0"/>
        </w:rPr>
        <w:t>Leis invalidadas -</w:t>
      </w:r>
      <w:r w:rsidR="00361365" w:rsidRPr="007B0B53">
        <w:t xml:space="preserve"> A decisão invalida trechos das Leis municipais 9638/2022 e 9763/2023. As normas estabeleciam que, para instalar antenas, as empresas de telefonia teriam de pagar aos cofres do município cerca de R$ 26,3 mil em valores atuais, segundo cálculo da Associação Brasileira de Infraestrutura para Telecomunicações (</w:t>
      </w:r>
      <w:proofErr w:type="spellStart"/>
      <w:r w:rsidR="00361365" w:rsidRPr="007B0B53">
        <w:t>Abrintel</w:t>
      </w:r>
      <w:proofErr w:type="spellEnd"/>
      <w:r w:rsidR="00361365" w:rsidRPr="007B0B53">
        <w:t xml:space="preserve">). A </w:t>
      </w:r>
      <w:proofErr w:type="spellStart"/>
      <w:r w:rsidR="00361365" w:rsidRPr="007B0B53">
        <w:t>Abrintel</w:t>
      </w:r>
      <w:proofErr w:type="spellEnd"/>
      <w:r w:rsidR="00361365" w:rsidRPr="007B0B53">
        <w:t>, autora da ADPF 1099, alegou ao STF que a cobrança colocava em risco a cobertura de sinal não só no município, mas em outras áreas, já que, segundo explicou, o sistema de telefonia celular opera em cadeia e depende de uma série de torres para funcionar.</w:t>
      </w:r>
    </w:p>
    <w:p w:rsidR="00496A16" w:rsidRPr="007B0B53" w:rsidRDefault="00177CEB" w:rsidP="00496A16">
      <w:pPr>
        <w:pStyle w:val="NormalWeb"/>
        <w:shd w:val="clear" w:color="auto" w:fill="FFFFFF"/>
        <w:spacing w:before="240" w:beforeAutospacing="0" w:after="0" w:afterAutospacing="0"/>
        <w:jc w:val="both"/>
        <w:textAlignment w:val="baseline"/>
      </w:pPr>
      <w:r w:rsidRPr="007B0B53">
        <w:t>STF (</w:t>
      </w:r>
      <w:r w:rsidR="00496A16" w:rsidRPr="007B0B53">
        <w:t>ADPF 1214</w:t>
      </w:r>
      <w:r w:rsidRPr="007B0B53">
        <w:t xml:space="preserve">, in Notícias STF 14.04.2025) STF mantém decisão que impede que Guarda Civil de São Paulo use nome de “Polícia Municipal” - </w:t>
      </w:r>
      <w:r w:rsidRPr="007B0B53">
        <w:rPr>
          <w:spacing w:val="-5"/>
        </w:rPr>
        <w:t>Segundo ministro Flávio Dino, nomenclatura é definida pela Constituição Federal e deve ser respeitada pelos municípios -</w:t>
      </w:r>
      <w:r w:rsidR="00496A16" w:rsidRPr="007B0B53">
        <w:t xml:space="preserve"> O ministro Flávio Dino, do Supremo Tribunal Federal (STF), manteve decisão da Justiça de São Paulo que suspendeu a mudança de nome da Guarda Civil Metropolitana para Polícia Municipal de São Paulo. A decisão individual rejeitou pedido da Federação Nacional de Sindicatos de Guardas Municipais (</w:t>
      </w:r>
      <w:proofErr w:type="spellStart"/>
      <w:r w:rsidR="00496A16" w:rsidRPr="007B0B53">
        <w:t>Fenaguardas</w:t>
      </w:r>
      <w:proofErr w:type="spellEnd"/>
      <w:r w:rsidR="00496A16" w:rsidRPr="007B0B53">
        <w:t>) na Arguição de Descumprimento de Preceito Fundamental </w:t>
      </w:r>
      <w:r w:rsidR="00496A16" w:rsidRPr="007B0B53">
        <w:rPr>
          <w:rStyle w:val="Forte"/>
          <w:rFonts w:eastAsiaTheme="majorEastAsia"/>
          <w:b w:val="0"/>
        </w:rPr>
        <w:t>(ADPF) 1214</w:t>
      </w:r>
      <w:r w:rsidR="00496A16" w:rsidRPr="007B0B53">
        <w:t xml:space="preserve">. A alteração ocorreu em março deste ano, e, numa ação direta de inconstitucionalidade estadual, o TJ-SP deferiu liminar para suspender o trecho da Lei Orgânica do Município de São Paulo que admitia o uso do nome de Polícia Municipal. Na ADPF, a </w:t>
      </w:r>
      <w:proofErr w:type="spellStart"/>
      <w:r w:rsidR="00496A16" w:rsidRPr="007B0B53">
        <w:t>Fenaguardas</w:t>
      </w:r>
      <w:proofErr w:type="spellEnd"/>
      <w:r w:rsidR="00496A16" w:rsidRPr="007B0B53">
        <w:t xml:space="preserve"> pretende cassar essa liminar, com o argumento de que a lei não exclui a nomenclatura original nem retira sua identidade institucional, mas apenas utiliza outra denominação “sem desnaturar a instituição”. Ao negar o pedido para suspender de imediato a decisão do TJ-SP, o ministro Flávio Dino afirmou que a Constituição Federal é clara ao estabelecer que os municípios podem manter “guardas municipais”, e não “polícias municipais”. Trata-se, segundo ele, de uma opção jurídica e política deliberada, “resultado de uma escolha que reflete a distinção entre os diferentes órgãos de segurança pública”. Dino ressaltou que tanto a Constituição Federal quanto as leis que regulamentam a segurança pública utilizam de forma sistemática o termo “guarda municipal”, como o Estatuto Geral das Guardas Municipais (Lei 13.022/2014) e a Lei 13.675/2018, que instituiu o Sistema Único de Segurança Pública (SUSP). “Permitir que um município altere essa nomenclatura por meio de lei local criaria um precedente perigoso, podendo levar à modificação arbitrária de outras instituições constitucionalmente nomeadas”, assinalou. Além do aspecto jurídico, o ministro levou em consideração os impactos administrativos e financeiros da mudança. Conforme destacado pelo TJ-SP e ratificado por Dino, a alteração de nome exigiria uma série de medidas da administração pública, como a troca de uniformes, viaturas, placas e materiais de divulgação institucional.  O ministro também apontou decisões anteriores da Corte que reconhecem as guardas municipais como integrantes do sistema de segurança pública, sem, contudo, equipará-las a polícias ou denominá-las dessa forma. A decisão será submetida a referendo do Plenário.</w:t>
      </w:r>
    </w:p>
    <w:p w:rsidR="003A6976" w:rsidRPr="007B0B53" w:rsidRDefault="00361365" w:rsidP="001D508A">
      <w:pPr>
        <w:pStyle w:val="NormalWeb"/>
        <w:shd w:val="clear" w:color="auto" w:fill="FFFFFF"/>
        <w:spacing w:before="240" w:beforeAutospacing="0" w:after="0" w:afterAutospacing="0"/>
        <w:jc w:val="both"/>
        <w:textAlignment w:val="baseline"/>
      </w:pPr>
      <w:r w:rsidRPr="007B0B53">
        <w:t xml:space="preserve">STF </w:t>
      </w:r>
      <w:r w:rsidR="003A6976" w:rsidRPr="007B0B53">
        <w:t xml:space="preserve">(RE 1492951, in Notícias STF 04.04.2025) STF mantém inconstitucionalidade de lei do DF que criava ensino domiciliar - </w:t>
      </w:r>
      <w:r w:rsidR="003A6976" w:rsidRPr="007B0B53">
        <w:rPr>
          <w:spacing w:val="-5"/>
        </w:rPr>
        <w:t>1ª Turma confirmou que somente lei federal pode instituir essa modalidade de ensino no país –</w:t>
      </w:r>
      <w:r w:rsidR="001D508A" w:rsidRPr="007B0B53">
        <w:rPr>
          <w:spacing w:val="-5"/>
        </w:rPr>
        <w:t xml:space="preserve"> </w:t>
      </w:r>
      <w:r w:rsidR="003A6976" w:rsidRPr="007B0B53">
        <w:t xml:space="preserve">Por unanimidade de votos, a Primeira Turma do Supremo Tribunal Federal (STF) manteve a decisão do ministro Flávio Dino que validou a declaração de inconstitucionalidade, pela Justiça do Distrito Federal, da lei que institui a educação domiciliar (ou </w:t>
      </w:r>
      <w:proofErr w:type="spellStart"/>
      <w:r w:rsidR="003A6976" w:rsidRPr="007B0B53">
        <w:t>homeschooling</w:t>
      </w:r>
      <w:proofErr w:type="spellEnd"/>
      <w:r w:rsidR="003A6976" w:rsidRPr="007B0B53">
        <w:t>). A decisão foi tomada no âmbito do Recurso Extraordinário </w:t>
      </w:r>
      <w:r w:rsidR="003A6976" w:rsidRPr="007B0B53">
        <w:rPr>
          <w:rStyle w:val="Forte"/>
          <w:rFonts w:eastAsiaTheme="majorEastAsia"/>
          <w:b w:val="0"/>
        </w:rPr>
        <w:t>(RE) 1492951</w:t>
      </w:r>
      <w:r w:rsidR="003A6976" w:rsidRPr="007B0B53">
        <w:t>, na sessão virtual finalizada em 28/3.</w:t>
      </w:r>
      <w:r w:rsidR="001D508A" w:rsidRPr="007B0B53">
        <w:rPr>
          <w:spacing w:val="-5"/>
        </w:rPr>
        <w:t xml:space="preserve"> </w:t>
      </w:r>
      <w:r w:rsidR="003A6976" w:rsidRPr="007B0B53">
        <w:t>Essa modalidade de ensino se diferencia do modelo padrão, que exige a presença física e a frequência do aluno à escola, pública ou privada, para dar à família a possibilidade de gerir o ensino de crianças e adolescentes, com a fiscalização do Estado.</w:t>
      </w:r>
      <w:r w:rsidR="001D508A" w:rsidRPr="007B0B53">
        <w:rPr>
          <w:spacing w:val="-5"/>
        </w:rPr>
        <w:t xml:space="preserve"> </w:t>
      </w:r>
      <w:r w:rsidR="003A6976" w:rsidRPr="007B0B53">
        <w:t>Uma decisão do Plenário do STF, de setembro de 2018, estabeleceu que o ensino domiciliar só pode ser criado e regulamentado pelo Congresso Nacional, por meio de lei federal. Por isso, qualquer legislação municipal, estadual ou distrital que o adote será inconstitucional, por invadir a competência privativa da União para legislar sobre diretrizes e bases da educação.</w:t>
      </w:r>
      <w:r w:rsidR="001D508A" w:rsidRPr="007B0B53">
        <w:rPr>
          <w:spacing w:val="-5"/>
        </w:rPr>
        <w:t xml:space="preserve"> </w:t>
      </w:r>
      <w:r w:rsidR="003A6976" w:rsidRPr="007B0B53">
        <w:t>Na decisão em que negou o recurso do governo do Distrito Federal, o ministro Dino afirmou que a decisão do Tribunal de Justiça do Distrito Federal e dos Territórios (TJDFT) que declarou a norma inconstitucional está alinhada à jurisprudência do Supremo.</w:t>
      </w:r>
    </w:p>
    <w:p w:rsidR="006403A5" w:rsidRPr="007B0B53" w:rsidRDefault="006403A5" w:rsidP="006403A5">
      <w:pPr>
        <w:pStyle w:val="NormalWeb"/>
        <w:shd w:val="clear" w:color="auto" w:fill="FFFFFF"/>
        <w:spacing w:before="240" w:beforeAutospacing="0" w:after="0" w:afterAutospacing="0"/>
        <w:jc w:val="both"/>
        <w:textAlignment w:val="baseline"/>
      </w:pPr>
      <w:r w:rsidRPr="007B0B53">
        <w:t xml:space="preserve">STF (Rcl 76723 e Rcl 76724, in Notícias STF 04.04.2025) Greve de peritos do INSS: STF solicita que PGR avalie a abertura de inquérito policial - </w:t>
      </w:r>
      <w:r w:rsidRPr="007B0B53">
        <w:rPr>
          <w:spacing w:val="-5"/>
        </w:rPr>
        <w:t>Ministro Gilmar Mendes rejeitou reclamações de associação que contestava ato do governo federal que bloqueou agenda dos peritos -</w:t>
      </w:r>
      <w:r w:rsidRPr="007B0B53">
        <w:t xml:space="preserve"> O ministro Gilmar Mendes, do Supremo Tribunal Federal (STF), rejeitou na quinta-feira (3) duas reclamações da Associação Nacional </w:t>
      </w:r>
      <w:r w:rsidRPr="007B0B53">
        <w:lastRenderedPageBreak/>
        <w:t>dos Peritos Médicos Federais (ANMP) e solicitou que a Procuradoria-Geral da República (PGR) avalie a instauração de inquérito policial para apurar indícios de crimes relacionados a abuso de direito de greve. A primeira reclamação (</w:t>
      </w:r>
      <w:r w:rsidRPr="007B0B53">
        <w:rPr>
          <w:rStyle w:val="Forte"/>
          <w:rFonts w:eastAsiaTheme="majorEastAsia"/>
          <w:b w:val="0"/>
        </w:rPr>
        <w:t>RCL 76723</w:t>
      </w:r>
      <w:r w:rsidRPr="007B0B53">
        <w:t>) contestava ofício circular do governo federal que bloqueou a agenda dos peritos e redirecionou os segurados a profissionais que não aderiram à greve. Já a segunda (</w:t>
      </w:r>
      <w:r w:rsidRPr="007B0B53">
        <w:rPr>
          <w:rStyle w:val="Forte"/>
          <w:rFonts w:eastAsiaTheme="majorEastAsia"/>
          <w:b w:val="0"/>
        </w:rPr>
        <w:t>RCL 76724</w:t>
      </w:r>
      <w:r w:rsidRPr="007B0B53">
        <w:t>) buscava reformar decisão do Superior Tribunal de Justiça (STJ) que manteve alterações feitas pelo Instituto Nacional do Seguro Social (INSS) no acordo firmado com a categoria em 2022. Ao analisar os casos, o ministro considerou que a União agiu corretamente ao bloquear a agenda dos peritos diante de diversos procedimentos adotados pelo movimento grevista, considerados contrários ao princípio da regularidade na prestação de serviços essenciais à população. Entre esses procedimentos estavam a ausência de aviso prévio sobre a rotina de trabalho, com a substituição da análise documental — que poderia resultar na concessão automática de benefícios — por perícias presenciais futuras, sem justificativa, e faltas em dias aleatórios, também sem aviso prévio. Nessas situações, os segurados só descobriam que não seriam atendidos ao chegarem às agências do INSS. Na decisão, o ministro lembrou que a Lei 7.783/1989, que regulamenta o direito de greve, impõe às entidades sindicais e trabalhadores de serviços essenciais a obrigação de comunicar paralisações com, no mínimo, 72 horas de antecedência ao empregador e aos usuários. Por isso, o bloqueio das agendas não violou o direito de greve. O bloqueio direciona os segurados para atendimento somente com peritos que não aderiram à paralisação. Por outro lado, o relator entendeu que os procedimentos adotados pelos grevistas configuram abuso do direito de greve. O ministro destacou que muitos segurados percorreram longas distâncias até os postos de atendimento, mas foram surpreendidos com o adiamento das perícias, o que acarretou prejuízo para uma parcela da população que já se encontrava fragilizada por sua saúde e condição financeira. “Essa situação é inaceitável, abusiva, antiética e imoral. Ao impedir o atendimento de segurados que dependem da perícia para a concessão de benefícios essenciais à sua subsistência, o movimento grevista ultrapassa os limites da legalidade e da razoabilidade, transformando-se em um ato de insensibilidade e injustiça”, afirmou. Quanto à decisão do STJ, o ministro também não identificou irregularidades, ressaltando que as alterações feitas pelo INSS no acordo firmado com a categoria em 2022 seguiram recomendações decorrentes de auditoria realizada pelo Tribunal de Contas da União (TCU).</w:t>
      </w:r>
    </w:p>
    <w:p w:rsidR="002A16C6" w:rsidRPr="007B0B53" w:rsidRDefault="003A6976" w:rsidP="002A16C6">
      <w:pPr>
        <w:pStyle w:val="NormalWeb"/>
        <w:shd w:val="clear" w:color="auto" w:fill="FFFFFF"/>
        <w:spacing w:before="240" w:beforeAutospacing="0" w:after="0" w:afterAutospacing="0"/>
        <w:jc w:val="both"/>
        <w:textAlignment w:val="baseline"/>
        <w:rPr>
          <w:spacing w:val="-5"/>
        </w:rPr>
      </w:pPr>
      <w:r w:rsidRPr="007B0B53">
        <w:t xml:space="preserve">STF </w:t>
      </w:r>
      <w:r w:rsidR="002A16C6" w:rsidRPr="007B0B53">
        <w:t xml:space="preserve">(ADI 3816, in Notícias STF 03.04.2025) STF valida lei que libera pedágio para veículos de pessoas com deficiência nas rodovias do Espírito Santo - </w:t>
      </w:r>
      <w:r w:rsidR="002A16C6" w:rsidRPr="007B0B53">
        <w:rPr>
          <w:spacing w:val="-5"/>
        </w:rPr>
        <w:t xml:space="preserve">Para o Plenário, norma não invadiu competência do Executivo – </w:t>
      </w:r>
      <w:r w:rsidR="002A16C6" w:rsidRPr="007B0B53">
        <w:t>O Supremo Tribunal Federal (STF) manteve válida lei do Espírito Santo que isenta os veículos de pessoas com deficiência do pagamento de pedágio nas rodovias estaduais. A decisão foi tomada na sessão virtual encerrada em 28/3, no julgamento da Ação Direta de Inconstitucionalidade </w:t>
      </w:r>
      <w:r w:rsidR="002A16C6" w:rsidRPr="007B0B53">
        <w:rPr>
          <w:rStyle w:val="Forte"/>
          <w:rFonts w:eastAsiaTheme="majorEastAsia"/>
          <w:b w:val="0"/>
        </w:rPr>
        <w:t>(ADI) 3816</w:t>
      </w:r>
      <w:r w:rsidR="002A16C6" w:rsidRPr="007B0B53">
        <w:t>.</w:t>
      </w:r>
      <w:r w:rsidR="002A16C6" w:rsidRPr="007B0B53">
        <w:rPr>
          <w:spacing w:val="-5"/>
        </w:rPr>
        <w:t xml:space="preserve"> </w:t>
      </w:r>
      <w:r w:rsidR="002A16C6" w:rsidRPr="007B0B53">
        <w:t xml:space="preserve">A ação foi proposta pelo governo do estado contra trechos da Lei estadual 7.436/2002. Entre outros pontos, o governo alegava que a norma cria atribuições para a administração pública, violando competência privativa do chefe do Executivo estadual. </w:t>
      </w:r>
      <w:r w:rsidR="002A16C6" w:rsidRPr="007B0B53">
        <w:rPr>
          <w:rStyle w:val="Forte"/>
          <w:b w:val="0"/>
          <w:bCs w:val="0"/>
        </w:rPr>
        <w:t>Equilíbrio financeiro</w:t>
      </w:r>
      <w:r w:rsidR="002A16C6" w:rsidRPr="007B0B53">
        <w:rPr>
          <w:spacing w:val="-5"/>
        </w:rPr>
        <w:t xml:space="preserve"> - </w:t>
      </w:r>
      <w:r w:rsidR="002A16C6" w:rsidRPr="007B0B53">
        <w:t xml:space="preserve">O Plenário seguiu o voto do relator, ministro Nunes Marques, para afastar esse argumento. De acordo com o ministro, a norma não trata de matéria de competência privativa do chefe do Poder Executivo, como criação de cargos e aumento de remunerações. Também não ficou comprovado no processo que a isenção tenha gerado desequilíbrio econômico-financeiro no contrato de concessão de rodovias estaduais. </w:t>
      </w:r>
      <w:r w:rsidR="002A16C6" w:rsidRPr="007B0B53">
        <w:rPr>
          <w:bCs/>
        </w:rPr>
        <w:t>Direitos fundamentais -</w:t>
      </w:r>
      <w:r w:rsidR="002A16C6" w:rsidRPr="007B0B53">
        <w:rPr>
          <w:spacing w:val="-5"/>
        </w:rPr>
        <w:t xml:space="preserve"> </w:t>
      </w:r>
      <w:r w:rsidR="002A16C6" w:rsidRPr="007B0B53">
        <w:t>O colegiado também concluiu que a lei interveio na ordem econômica para dar maior efetividade aos direitos fundamentais das pessoas com deficiência, considerando, em especial, o direito de ir e vir, que, para esse grupo, é geralmente mitigado.</w:t>
      </w:r>
      <w:r w:rsidR="002A16C6" w:rsidRPr="007B0B53">
        <w:rPr>
          <w:spacing w:val="-5"/>
        </w:rPr>
        <w:t xml:space="preserve"> </w:t>
      </w:r>
      <w:r w:rsidR="002A16C6" w:rsidRPr="007B0B53">
        <w:t>Prazo</w:t>
      </w:r>
      <w:r w:rsidR="002A16C6" w:rsidRPr="007B0B53">
        <w:rPr>
          <w:spacing w:val="-5"/>
        </w:rPr>
        <w:t xml:space="preserve"> - </w:t>
      </w:r>
      <w:r w:rsidR="002A16C6" w:rsidRPr="007B0B53">
        <w:t>O Plenário, contudo, julgou inválido o artigo 3º da norma, que estipulava prazo para que a lei fosse regulamentada pelo Poder Executivo. De acordo com a jurisprudência do Supremo, a regulamentação é uma das atividades típicas do Executivo, e não cabe ao Legislativo fixar prazos para que seja exercida, sob pena de violação ao princípio da separação dos Poderes.</w:t>
      </w:r>
    </w:p>
    <w:p w:rsidR="000736A1" w:rsidRPr="007B0B53" w:rsidRDefault="002A16C6" w:rsidP="000736A1">
      <w:pPr>
        <w:pStyle w:val="NormalWeb"/>
        <w:shd w:val="clear" w:color="auto" w:fill="FFFFFF"/>
        <w:spacing w:before="240" w:beforeAutospacing="0" w:after="0" w:afterAutospacing="0"/>
        <w:jc w:val="both"/>
        <w:textAlignment w:val="baseline"/>
      </w:pPr>
      <w:r w:rsidRPr="007B0B53">
        <w:t xml:space="preserve">STF </w:t>
      </w:r>
      <w:r w:rsidR="000736A1" w:rsidRPr="007B0B53">
        <w:t>(ADPF 635, in Notícias STF 03.04.2025</w:t>
      </w:r>
      <w:r w:rsidR="009C6761" w:rsidRPr="007B0B53">
        <w:t xml:space="preserve"> e Informativo STF 1172</w:t>
      </w:r>
      <w:r w:rsidR="000736A1" w:rsidRPr="007B0B53">
        <w:t xml:space="preserve">) ADPF das Favelas: STF homologa parcialmente plano do Estado do Rio de Janeiro para reduzir letalidade policial - </w:t>
      </w:r>
      <w:r w:rsidR="000736A1" w:rsidRPr="007B0B53">
        <w:rPr>
          <w:spacing w:val="-5"/>
        </w:rPr>
        <w:t>Plenário determina elaboração de plano para retomar áreas ocupadas por organizações criminosas no RJ e investigação pela PF sobre crimes e violações de direitos humanos -</w:t>
      </w:r>
      <w:r w:rsidR="000736A1" w:rsidRPr="007B0B53">
        <w:t xml:space="preserve"> O Supremo Tribunal Federal (STF) homologou parcialmente, nesta quinta-feira (3), o plano de redução da letalidade policial apresentado pelo Estado do Rio de Janeiro no âmbito da Arguição de Descumprimento de Preceito Fundamental (ADPF) 635. O Tribunal determinou a adoção de medidas para a sua complementação, entre elas a elaboração de um plano para a recuperação territorial de áreas ocupadas por organizações criminosas e a instauração de um inquérito, </w:t>
      </w:r>
      <w:r w:rsidR="000736A1" w:rsidRPr="007B0B53">
        <w:lastRenderedPageBreak/>
        <w:t xml:space="preserve">pela Polícia Federal, para apurar indícios concretos de crimes com repercussão interestadual e internacional. O julgamento da chamada “ADPF das Favelas” começou em fevereiro deste ano e foi suspenso após o voto do ministro Edson </w:t>
      </w:r>
      <w:proofErr w:type="spellStart"/>
      <w:r w:rsidR="000736A1" w:rsidRPr="007B0B53">
        <w:t>Fachin</w:t>
      </w:r>
      <w:proofErr w:type="spellEnd"/>
      <w:r w:rsidR="000736A1" w:rsidRPr="007B0B53">
        <w:t xml:space="preserve">, que atendeu a uma ponderação do presidente do STF, ministro Luís Roberto Barroso, para que, em razão da profundidade e da complexidade da questão, o colegiado buscasse a construção de consensos sobre os diversos pontos apresentados. </w:t>
      </w:r>
      <w:r w:rsidR="000736A1" w:rsidRPr="007B0B53">
        <w:rPr>
          <w:rStyle w:val="Forte"/>
          <w:rFonts w:eastAsiaTheme="majorEastAsia"/>
          <w:b w:val="0"/>
          <w:bCs w:val="0"/>
        </w:rPr>
        <w:t>Voto conjunto -</w:t>
      </w:r>
      <w:r w:rsidR="000736A1" w:rsidRPr="007B0B53">
        <w:t xml:space="preserve"> Na sessão desta tarde, </w:t>
      </w:r>
      <w:proofErr w:type="spellStart"/>
      <w:r w:rsidR="000736A1" w:rsidRPr="007B0B53">
        <w:t>Fachin</w:t>
      </w:r>
      <w:proofErr w:type="spellEnd"/>
      <w:r w:rsidR="000736A1" w:rsidRPr="007B0B53">
        <w:t xml:space="preserve"> apresentou um voto conjunto com o objetivo de refletir a posição consensual ou, em alguns casos, majoritária do colegiado. Ele explicou que o voto proferido inicialmente foi o ponto de partida para um “profícuo diálogo” entre os integrantes do Tribunal visando à identificação de pontos de consenso e aprimoramento dos diversos aspectos apresentados. De acordo com o relator, as alterações promovidas demonstram a preocupação do STF com a situação da segurança pública e das condições de trabalho das forças policiais no Estado do Rio de Janeiro. </w:t>
      </w:r>
      <w:proofErr w:type="spellStart"/>
      <w:r w:rsidR="000736A1" w:rsidRPr="007B0B53">
        <w:t>Fachin</w:t>
      </w:r>
      <w:proofErr w:type="spellEnd"/>
      <w:r w:rsidR="000736A1" w:rsidRPr="007B0B53">
        <w:t xml:space="preserve"> salientou que a solução consensual aponta um caminho seguro para o encerramento da ação e reflete, entre outros pontos, a maior autonomia que deve ser dada ao governo estadual pelo compromisso demonstrado para cumprir as determinações do STF. Ao encerrar a sessão, o presidente do STF destacou que este é o primeiro caso em que o STF anuncia uma decisão colegiada obtida a partir de um consenso entre todos seus integrantes. Em nome do Tribunal, Barroso manifestou solidariedade a todas as famílias de vítimas da letalidade policial e às dos agentes de segurança pública vitimados em confronto com criminosos. “O STF tem compromisso com os direitos humanos e com a segurança pública de todas as pessoas, inclusive das que moram em comunidades pobres, que têm os mesmos direitos de todas as demais”, disse. Ele reiterou a importância da reocupação territorial das comunidades, que deve ser não apenas física, mas também proporcionar acesso à saúde, educação, cultura, esporte, lazer e integração social e a serviços oferecidos ao restante da sociedade. </w:t>
      </w:r>
      <w:r w:rsidR="000736A1" w:rsidRPr="007B0B53">
        <w:rPr>
          <w:rStyle w:val="Forte"/>
          <w:rFonts w:eastAsiaTheme="majorEastAsia"/>
          <w:b w:val="0"/>
          <w:bCs w:val="0"/>
        </w:rPr>
        <w:t>Natureza estrutural -</w:t>
      </w:r>
      <w:r w:rsidR="000736A1" w:rsidRPr="007B0B53">
        <w:t xml:space="preserve"> O voto reconhece a natureza estrutural do litígio, a parcial omissão do Estado e a violação de direitos fundamentais e a violação de direitos humanos por parte das organizações criminosas que ocupam territórios e cerceiam direitos de locomoção da população e das forças de segurança. O relator observou que, embora a política de redução de letalidade ainda esteja longe do ideal constitucional, o STF entende que, desde o início da tramitação da ação, há mais de cinco anos, o Estado do Rio de Janeiro demonstrou compromisso significativo com a determinação da Corte Interamericana de Direitos Humanos (Corte IDH) no caso Favela Nova Brasília, que reconheceu omissão relevante e demora do estado na elaboração de um plano para a redução da letalidade dos agentes de segurança. Nesse sentido, destacou a instalação de câmeras nos uniformes policiais, a instituição de um protocolo de comunicação das operações e as notificações ao Ministério Público do Estado do Rio de Janeiro sobre as operações, possibilitando seu acompanhamento. </w:t>
      </w:r>
      <w:r w:rsidR="000736A1" w:rsidRPr="007B0B53">
        <w:rPr>
          <w:rStyle w:val="Forte"/>
          <w:rFonts w:eastAsiaTheme="majorEastAsia"/>
          <w:b w:val="0"/>
          <w:bCs w:val="0"/>
        </w:rPr>
        <w:t>Plano de reocupação de territórios -</w:t>
      </w:r>
      <w:r w:rsidR="000736A1" w:rsidRPr="007B0B53">
        <w:t xml:space="preserve"> Segundo a decisão, o Estado do Rio de Janeiro e os municípios interessados devem elaborar um plano para a reocupação territorial de áreas que estão atualmente sob domínio de organizações criminosas. O objetivo é viabilizar a presença permanente do poder público por meio da instalação de equipamentos públicos, de políticas voltadas à juventude e da qualificação de serviços básicos para estas regiões. </w:t>
      </w:r>
      <w:r w:rsidR="000736A1" w:rsidRPr="007B0B53">
        <w:rPr>
          <w:rStyle w:val="Forte"/>
          <w:rFonts w:eastAsiaTheme="majorEastAsia"/>
          <w:b w:val="0"/>
          <w:bCs w:val="0"/>
        </w:rPr>
        <w:t>Investigação sobre crimes interestaduais</w:t>
      </w:r>
      <w:r w:rsidR="000736A1" w:rsidRPr="007B0B53">
        <w:t xml:space="preserve"> - O Tribunal também determinou que a Polícia Federal abra inquérito para apurar indícios concretos de crimes com repercussão interestadual e internacional que exigem repressão uniforme e as violações de direitos humanos decorrentes da ocupação de comunidades por organizações criminosas. De acordo com o ministro, a PF poderá atuar em conjunto com as forças de segurança estaduais para identificar as organizações criminosas em atuação no estado, suas lideranças e seu modo de operação, sobretudo em movimentações financeiras. Outra determinação é para que o Conselho de Controle de Atividades Financeiras (COAF), a Receita Federal e a Secretaria de Estado da Fazenda do Rio de Janeiro deem a máxima prioridade para atendimento das diligências relativas a inquéritos policiais aberto para essas investigações. </w:t>
      </w:r>
      <w:r w:rsidR="000736A1" w:rsidRPr="007B0B53">
        <w:rPr>
          <w:rStyle w:val="Forte"/>
          <w:rFonts w:eastAsiaTheme="majorEastAsia"/>
          <w:b w:val="0"/>
          <w:bCs w:val="0"/>
        </w:rPr>
        <w:t>Grupo de inteligência com dedicação exclusiva</w:t>
      </w:r>
      <w:r w:rsidR="000736A1" w:rsidRPr="007B0B53">
        <w:t xml:space="preserve"> - O colegiado determinou que a Polícia Federal instaure imediatamente um inquérito, com equipe de dedicação exclusiva e atuação permanente voltada para produção de inteligência e à condução de investigações sobre a atuação dos principais grupos criminosos violentos em atividade no Estado e suas conexões com agentes públicos. As investigações devem dar ênfase à repressão às milícias, aos crimes de tráfico de armas, munições e acessórios, de drogas e lavagem de capitais, sem prejuízo da atuação dos órgãos estaduais em suas respectivas atribuições. </w:t>
      </w:r>
      <w:r w:rsidR="000736A1" w:rsidRPr="007B0B53">
        <w:rPr>
          <w:rStyle w:val="Forte"/>
          <w:rFonts w:eastAsiaTheme="majorEastAsia"/>
          <w:b w:val="0"/>
          <w:bCs w:val="0"/>
        </w:rPr>
        <w:t>Mortes em decorrência de intervenção policial -</w:t>
      </w:r>
      <w:r w:rsidR="000736A1" w:rsidRPr="007B0B53">
        <w:t xml:space="preserve"> O Tribunal determinou que, quando houver mortes de civis ou de agentes de segurança pública, em decorrência de intervenção policial, o Ministério Público estadual deverá ser imediatamente comunicado para que, se entender cabível, determine o comparecimento de um promotor de Justiça ao local dos fatos. </w:t>
      </w:r>
      <w:r w:rsidR="000736A1" w:rsidRPr="007B0B53">
        <w:rPr>
          <w:rStyle w:val="Forte"/>
          <w:rFonts w:eastAsiaTheme="majorEastAsia"/>
          <w:b w:val="0"/>
          <w:bCs w:val="0"/>
        </w:rPr>
        <w:t xml:space="preserve">Mais prazo para </w:t>
      </w:r>
      <w:r w:rsidR="000736A1" w:rsidRPr="007B0B53">
        <w:rPr>
          <w:rStyle w:val="Forte"/>
          <w:rFonts w:eastAsiaTheme="majorEastAsia"/>
          <w:b w:val="0"/>
          <w:bCs w:val="0"/>
        </w:rPr>
        <w:lastRenderedPageBreak/>
        <w:t>instalação de câmeras -</w:t>
      </w:r>
      <w:r w:rsidR="000736A1" w:rsidRPr="007B0B53">
        <w:t xml:space="preserve"> Em relação à instalação de equipamentos de GPS e sistemas de gravação de áudio e vídeo nas fardas dos agentes de segurança, foi reconhecido que o governo estadual já tomou diversas providências e, nesse sentido, o prazo para a comprovação da implantação das câmeras nas viaturas da Polícia Militar e da Polícia Civil foi ampliado de 120 para 180 dias. No caso da Polícia Civil, os agentes utilizarão as câmeras nas fardas apenas nas atividades de patrulhamento e policiamento ostensivo e em operações policiais planejadas. </w:t>
      </w:r>
      <w:r w:rsidR="000736A1" w:rsidRPr="007B0B53">
        <w:rPr>
          <w:rStyle w:val="Forte"/>
          <w:rFonts w:eastAsiaTheme="majorEastAsia"/>
          <w:b w:val="0"/>
          <w:bCs w:val="0"/>
        </w:rPr>
        <w:t>Uso da força</w:t>
      </w:r>
      <w:r w:rsidR="000736A1" w:rsidRPr="007B0B53">
        <w:t xml:space="preserve"> - Quanto ao uso da força em operações policiais, o colegiado entendeu que devem ser observados os parâmetros previstos na Lei 13.060/2014 e em sua regulamentação, que trata do uso de instrumentos de menor potencial ofensivo. Dessa forma, caberia às próprias forças de segurança avaliar e definir o grau de força adequado a cada contexto, observando a proporcionalidade das ações e, preferencialmente, com planejamento prévio das operações. Será possível justificar operações de emergência posteriormente, mas os órgãos de controle e o Poder Judiciário avaliarão as justificativas. </w:t>
      </w:r>
      <w:r w:rsidR="000736A1" w:rsidRPr="007B0B53">
        <w:rPr>
          <w:rStyle w:val="Forte"/>
          <w:rFonts w:eastAsiaTheme="majorEastAsia"/>
          <w:b w:val="0"/>
          <w:bCs w:val="0"/>
        </w:rPr>
        <w:t>Saúde mental -</w:t>
      </w:r>
      <w:r w:rsidR="000736A1" w:rsidRPr="007B0B53">
        <w:t xml:space="preserve"> Foi dado prazo de 180 dias para que o governo estadual crie um programa de assistência à saúde mental dos profissionais de segurança pública. O atendimento psicossocial deverá ser obrigatório sempre que houver envolvimento em incidente crítico. A regulamentação também deverá prever a aferição da letalidade excessiva na atuação funcional, estabelecendo parâmetros a partir do qual o profissional da área de saúde mental avaliará a necessidade de afastamento preventivo das atividades de policiamento ostensivo. Nesse caso, o retorno às atividades fica a critério da corporação. </w:t>
      </w:r>
      <w:r w:rsidR="000736A1" w:rsidRPr="007B0B53">
        <w:rPr>
          <w:rStyle w:val="Forte"/>
          <w:rFonts w:eastAsiaTheme="majorEastAsia"/>
          <w:b w:val="0"/>
          <w:bCs w:val="0"/>
        </w:rPr>
        <w:t>Grupo de trabalho</w:t>
      </w:r>
      <w:r w:rsidR="000736A1" w:rsidRPr="007B0B53">
        <w:t xml:space="preserve"> - O relator também determina a criação de um grupo de trabalho para acompanhar o cumprimento da decisão do Supremo e, em conjunto com o governo estadual, apoiar sua implementação. O comitê será coordenado pelo Conselho Nacional do Ministério Público (CNMP), que definirá sua composição observando as diretrizes definidas na decisão. Em conjunto com as Corregedorias dos Ministérios Públicos locais, o CNMP passará a publicar relatórios semestrais de transparência com informações sobre o controle externo da atividade policial, com dados objetivos de atuação e resultados, discriminando as unidades responsáveis. </w:t>
      </w:r>
      <w:r w:rsidR="000736A1" w:rsidRPr="007B0B53">
        <w:rPr>
          <w:rStyle w:val="Forte"/>
          <w:rFonts w:eastAsiaTheme="majorEastAsia"/>
          <w:b w:val="0"/>
          <w:bCs w:val="0"/>
        </w:rPr>
        <w:t>Violação de direitos</w:t>
      </w:r>
      <w:r w:rsidR="000736A1" w:rsidRPr="007B0B53">
        <w:t xml:space="preserve"> - A ação foi apresentada em 2019 pelo Partido Socialista Brasileiro (PSB), que alega violação massiva de direitos fundamentais no estado, em razão da omissão estrutural do poder público em relação ao problema. Para o partido, há um quadro de grave violação generalizada de direitos humanos em razão do descumprimento da sentença da Corte Interamericana de Direitos Humanos (Corte IDH) no caso Favela Nova Brasília. A decisão reconheceu omissão relevante e demora do Estado do Rio de Janeiro na elaboração de um plano para a redução da letalidade dos agentes de segurança. Decisões da Corte IDH são vinculantes para o Estado brasileiro, ou seja, representam uma obrigação. Acompanharam a conclusão do julgamento, no Plenário do STF, a ministra da Igualdade Racial, </w:t>
      </w:r>
      <w:proofErr w:type="spellStart"/>
      <w:r w:rsidR="000736A1" w:rsidRPr="007B0B53">
        <w:t>Aniellle</w:t>
      </w:r>
      <w:proofErr w:type="spellEnd"/>
      <w:r w:rsidR="000736A1" w:rsidRPr="007B0B53">
        <w:t xml:space="preserve"> Franco, o governador do Estado do Rio de Janeiro, Cláudio Castro, o prefeito do Município do Rio de Janeiro, Eduardo Paes, e representantes das diversas instituições admitidas com terceiros interessados na ADPF 635, como Movimento Mães de Manguinhos, Redes de Comunidades e Movimentos contra a Violência, Movimento Mães de Acari e Rede Nacional de Mães e Familiares de Vítimas de Terrorismo de Estado, além dos deputados federais Pastor Henrique Vieira e Tarcísio Mota (PSOL-RJ).</w:t>
      </w:r>
    </w:p>
    <w:p w:rsidR="00F455CB" w:rsidRPr="007B0B53" w:rsidRDefault="000736A1" w:rsidP="00F455CB">
      <w:pPr>
        <w:pStyle w:val="NormalWeb"/>
        <w:shd w:val="clear" w:color="auto" w:fill="FFFFFF"/>
        <w:spacing w:before="240" w:beforeAutospacing="0" w:after="0" w:afterAutospacing="0"/>
        <w:jc w:val="both"/>
        <w:textAlignment w:val="baseline"/>
        <w:rPr>
          <w:bCs/>
          <w:iCs/>
          <w:shd w:val="clear" w:color="auto" w:fill="FFFFFF"/>
        </w:rPr>
      </w:pPr>
      <w:r w:rsidRPr="007B0B53">
        <w:t xml:space="preserve">STF </w:t>
      </w:r>
      <w:r w:rsidR="0009214F" w:rsidRPr="007B0B53">
        <w:t>(</w:t>
      </w:r>
      <w:r w:rsidR="00F455CB" w:rsidRPr="007B0B53">
        <w:t>ADI 7722, in Informativo STF 1170</w:t>
      </w:r>
      <w:r w:rsidR="0009214F" w:rsidRPr="007B0B53">
        <w:t>)</w:t>
      </w:r>
      <w:r w:rsidR="00F455CB" w:rsidRPr="007B0B53">
        <w:t xml:space="preserve"> </w:t>
      </w:r>
      <w:r w:rsidR="00F455CB" w:rsidRPr="007B0B53">
        <w:rPr>
          <w:shd w:val="clear" w:color="auto" w:fill="FFFFFF"/>
        </w:rPr>
        <w:t>DIREITO CONSTITUCIONAL – </w:t>
      </w:r>
      <w:bookmarkStart w:id="9" w:name="_Hlk193976655"/>
      <w:r w:rsidR="00F455CB" w:rsidRPr="007B0B53">
        <w:rPr>
          <w:shd w:val="clear" w:color="auto" w:fill="FFFFFF"/>
        </w:rPr>
        <w:t>REPARTIÇÃO DE COMPETÊNCIAS; SERVIÇOS E INSTALAÇÕES DE ENERGIA ELÉTRICA</w:t>
      </w:r>
      <w:bookmarkEnd w:id="9"/>
      <w:r w:rsidR="00F455CB" w:rsidRPr="007B0B53">
        <w:rPr>
          <w:shd w:val="clear" w:color="auto" w:fill="FFFFFF"/>
        </w:rPr>
        <w:t xml:space="preserve"> - DIREITO ADMINISTRATIVO – SERVIÇOS PÚBLICOS; CONCESSÃO, PERMISSÃO OU AUTORIZAÇÃO; COMPARTILHAMENTO DE INFRAESTRUTURA DE ENERGIA ELÉTRICA -</w:t>
      </w:r>
      <w:bookmarkStart w:id="10" w:name="_Hlk193976703"/>
      <w:bookmarkStart w:id="11" w:name="Compartilhamento"/>
      <w:bookmarkEnd w:id="10"/>
      <w:r w:rsidR="00F455CB" w:rsidRPr="007B0B53">
        <w:rPr>
          <w:shd w:val="clear" w:color="auto" w:fill="FFFFFF"/>
        </w:rPr>
        <w:t xml:space="preserve"> </w:t>
      </w:r>
      <w:r w:rsidR="00F455CB" w:rsidRPr="007B0B53">
        <w:rPr>
          <w:bCs/>
          <w:iCs/>
          <w:shd w:val="clear" w:color="auto" w:fill="FFFFFF"/>
        </w:rPr>
        <w:t>Compartilhamento </w:t>
      </w:r>
      <w:bookmarkEnd w:id="11"/>
      <w:r w:rsidR="00F455CB" w:rsidRPr="007B0B53">
        <w:rPr>
          <w:bCs/>
          <w:iCs/>
          <w:shd w:val="clear" w:color="auto" w:fill="FFFFFF"/>
        </w:rPr>
        <w:t xml:space="preserve">de infraestrutura na exploração dos serviços públicos de energia elétrica no âmbito estadual –  </w:t>
      </w:r>
      <w:r w:rsidR="00F455CB" w:rsidRPr="007B0B53">
        <w:rPr>
          <w:bCs/>
          <w:shd w:val="clear" w:color="auto" w:fill="FFFFFF"/>
        </w:rPr>
        <w:t xml:space="preserve">É inconstitucional — por violar a competência administrativa da União para explorar os serviços e instalações de energia elétrica e a sua competência legislativa privativa para dispor sobre a matéria (CF/1988, </w:t>
      </w:r>
      <w:proofErr w:type="spellStart"/>
      <w:r w:rsidR="00F455CB" w:rsidRPr="007B0B53">
        <w:rPr>
          <w:bCs/>
          <w:shd w:val="clear" w:color="auto" w:fill="FFFFFF"/>
        </w:rPr>
        <w:t>arts</w:t>
      </w:r>
      <w:proofErr w:type="spellEnd"/>
      <w:r w:rsidR="00F455CB" w:rsidRPr="007B0B53">
        <w:rPr>
          <w:bCs/>
          <w:shd w:val="clear" w:color="auto" w:fill="FFFFFF"/>
        </w:rPr>
        <w:t xml:space="preserve">. 21, XII, “b”; 22, IV; e 175) — lei estadual que fixa diretrizes e obrigações para o compartilhamento de infraestrutura na exploração de serviços públicos de energia elétrica e telecomunicações. </w:t>
      </w:r>
      <w:r w:rsidR="00F455CB" w:rsidRPr="007B0B53">
        <w:rPr>
          <w:shd w:val="clear" w:color="auto" w:fill="FFFFFF"/>
        </w:rPr>
        <w:t xml:space="preserve">Esta Corte já decidiu que a União detém a prerrogativa de definir, em legislação própria, as condições pelas quais deverá ser prestado o serviço público de fornecimento de energia elétrica, estabelecendo regime jurídico de concessão ou permissão insuscetível de modificação pelo legislador estadual ou municipal [Precedente citado: ADPF 452]. No exercício de suas competências, a União editou a Lei federal nº 9.427/1996, que proíbe à unidade federativa conveniada exigir de concessionária ou permissionária sob sua ação complementar de regulação, controle e fiscalização obrigação não imposta ou que resulte em encargo distinto do imposto a empresas congêneres, sem prévia </w:t>
      </w:r>
      <w:r w:rsidR="00F455CB" w:rsidRPr="007B0B53">
        <w:rPr>
          <w:shd w:val="clear" w:color="auto" w:fill="FFFFFF"/>
        </w:rPr>
        <w:lastRenderedPageBreak/>
        <w:t>autorização da </w:t>
      </w:r>
      <w:r w:rsidR="00F455CB" w:rsidRPr="007B0B53">
        <w:t>Agência Nacional de Energia Elétrica – </w:t>
      </w:r>
      <w:r w:rsidR="00F455CB" w:rsidRPr="007B0B53">
        <w:rPr>
          <w:shd w:val="clear" w:color="auto" w:fill="FFFFFF"/>
        </w:rPr>
        <w:t xml:space="preserve">ANEEL [Precedente citado: ADPF 512]. </w:t>
      </w:r>
      <w:r w:rsidR="00F455CB" w:rsidRPr="007B0B53">
        <w:t xml:space="preserve">Nesse contexto, a ANEEL editou diversos regulamentos setoriais específicos que dispõem sobre o tema de compartilhamento de infraestruturas. Não há espaço de conformação em âmbito estadual, portanto, para que o ente local discipline a concessão de energia elétrica de modo a gerar um arcabouço obrigacional estranho aos ditames postos pela agência federal. Na espécie, a lei estadual impugnada interfere nas relações contratuais entre o poder concedente e as empresas </w:t>
      </w:r>
      <w:proofErr w:type="spellStart"/>
      <w:r w:rsidR="00F455CB" w:rsidRPr="007B0B53">
        <w:t>delegatárias</w:t>
      </w:r>
      <w:proofErr w:type="spellEnd"/>
      <w:r w:rsidR="00F455CB" w:rsidRPr="007B0B53">
        <w:t xml:space="preserve"> dos serviços públicos de energia elétrica e cria obrigações não previstas na legislação federal de regência que representam patentes riscos para o equilíbrio econômico-financeiro dos contratos de concessão, impactados pelo limite máximo imposto para o valor de cada unidade de infraestrutura compartilhada (que não considera os incrementos advindos da inflação) e pela nova carga tributária direcionada aos municípios [</w:t>
      </w:r>
      <w:r w:rsidR="00F455CB" w:rsidRPr="007B0B53">
        <w:rPr>
          <w:shd w:val="clear" w:color="auto" w:fill="FFFFFF"/>
        </w:rPr>
        <w:t>Precedentes citados: ADI 4478, ADI 7225, ADI 5927, ADI 6190, ADI 5610</w:t>
      </w:r>
      <w:r w:rsidR="00F455CB" w:rsidRPr="007B0B53">
        <w:t>]. Com base nesses e em outros entendimentos, o Plenário, por unanimidade, conheceu da ação direta e, confirmando a medida cautelar referendada, julgou procedente o pedido, para declarar a inconstitucionalidade do art. 1º, inciso I, da Lei nº 22.474/2023 do Estado de Goiás, e das expressões “</w:t>
      </w:r>
      <w:r w:rsidR="00F455CB" w:rsidRPr="007B0B53">
        <w:rPr>
          <w:i/>
          <w:iCs/>
        </w:rPr>
        <w:t>setor de energia elétrica</w:t>
      </w:r>
      <w:r w:rsidR="00F455CB" w:rsidRPr="007B0B53">
        <w:t>”, “</w:t>
      </w:r>
      <w:r w:rsidR="00F455CB" w:rsidRPr="007B0B53">
        <w:rPr>
          <w:i/>
          <w:iCs/>
        </w:rPr>
        <w:t>serviços públicos de energia elétrica</w:t>
      </w:r>
      <w:r w:rsidR="00F455CB" w:rsidRPr="007B0B53">
        <w:t>” e “</w:t>
      </w:r>
      <w:r w:rsidR="00F455CB" w:rsidRPr="007B0B53">
        <w:rPr>
          <w:i/>
          <w:iCs/>
        </w:rPr>
        <w:t>setor elétrico</w:t>
      </w:r>
      <w:r w:rsidR="00F455CB" w:rsidRPr="007B0B53">
        <w:t>”, constantes do art. 2º, I, II, V, VI e VII, do art. 3º, </w:t>
      </w:r>
      <w:r w:rsidR="00F455CB" w:rsidRPr="007B0B53">
        <w:rPr>
          <w:i/>
          <w:iCs/>
        </w:rPr>
        <w:t>caput</w:t>
      </w:r>
      <w:r w:rsidR="00F455CB" w:rsidRPr="007B0B53">
        <w:t> e parágrafo único, e do art. 5º, todos do mesmo diploma estadual.</w:t>
      </w:r>
    </w:p>
    <w:p w:rsidR="00252C56" w:rsidRPr="007B0B53" w:rsidRDefault="0009214F" w:rsidP="00252C56">
      <w:pPr>
        <w:pStyle w:val="NormalWeb"/>
        <w:shd w:val="clear" w:color="auto" w:fill="FFFFFF"/>
        <w:spacing w:before="240" w:beforeAutospacing="0" w:after="0" w:afterAutospacing="0"/>
        <w:jc w:val="both"/>
        <w:textAlignment w:val="baseline"/>
      </w:pPr>
      <w:r w:rsidRPr="007B0B53">
        <w:t xml:space="preserve">STF </w:t>
      </w:r>
      <w:r w:rsidR="00252C56" w:rsidRPr="007B0B53">
        <w:t>(ADI 2965, in Notícias STF 02.04.2025</w:t>
      </w:r>
      <w:r w:rsidR="009C6761" w:rsidRPr="007B0B53">
        <w:t xml:space="preserve"> e Informativo STF 1172</w:t>
      </w:r>
      <w:r w:rsidR="00252C56" w:rsidRPr="007B0B53">
        <w:t xml:space="preserve">) Plenário conclui julgamento de lei sobre o sistema educativo do Estado de Goiás - </w:t>
      </w:r>
      <w:r w:rsidR="00252C56" w:rsidRPr="007B0B53">
        <w:rPr>
          <w:spacing w:val="-5"/>
        </w:rPr>
        <w:t>STF validou trechos que tratam da carga horária de atividades fora da sala de aula, do número máximo de alunos e do piso salarial de professores -</w:t>
      </w:r>
      <w:r w:rsidR="00252C56" w:rsidRPr="007B0B53">
        <w:t xml:space="preserve"> O Plenário do Supremo Tribunal Federal (STF) validou, nesta quarta-feira (2), trechos de uma lei goiana que disciplina a organização da educação escolar no sistema educativo estadual. A decisão se deu no julgamento da Ação Direta de Inconstitucionalidade </w:t>
      </w:r>
      <w:r w:rsidR="00252C56" w:rsidRPr="007B0B53">
        <w:rPr>
          <w:rStyle w:val="Forte"/>
          <w:rFonts w:eastAsiaTheme="majorEastAsia"/>
          <w:b w:val="0"/>
        </w:rPr>
        <w:t>(ADI) 2965</w:t>
      </w:r>
      <w:r w:rsidR="00252C56" w:rsidRPr="007B0B53">
        <w:t>, proposta pela Confederação Nacional dos Estabelecimentos de Ensino (</w:t>
      </w:r>
      <w:proofErr w:type="spellStart"/>
      <w:r w:rsidR="00252C56" w:rsidRPr="007B0B53">
        <w:t>Confenen</w:t>
      </w:r>
      <w:proofErr w:type="spellEnd"/>
      <w:r w:rsidR="00252C56" w:rsidRPr="007B0B53">
        <w:t xml:space="preserve">). O julgamento da ação teve início no plenário virtual e foi retomado hoje para proclamação do resultado. </w:t>
      </w:r>
      <w:r w:rsidR="00252C56" w:rsidRPr="007B0B53">
        <w:rPr>
          <w:rStyle w:val="Forte"/>
          <w:b w:val="0"/>
          <w:bCs w:val="0"/>
        </w:rPr>
        <w:t>Constitucionalidade</w:t>
      </w:r>
      <w:r w:rsidR="00252C56" w:rsidRPr="007B0B53">
        <w:t xml:space="preserve"> - Por maioria de votos, o colegiado declarou válidos os trechos da Lei Complementar 26/1998 que condicionam o funcionamento de escolas privadas a autorização e estabelecem regras para a fiscalização pelo poder público, inclusive quanto à gestão democrática do ensino. Segundo o ministro Luís Roberto Barroso, a atuação no ensino é livre para as instituições privadas, desde que cumpram as normas gerais de educação nacional e se submetam à autorização e à avaliação de qualidade pelo poder público. O maior grau de regulação pelo Estado, destacou, se justifica pelo interesse social de que a atividade seja prestada com garantia de padrão de qualidade. </w:t>
      </w:r>
      <w:r w:rsidR="00252C56" w:rsidRPr="007B0B53">
        <w:rPr>
          <w:rStyle w:val="Forte"/>
          <w:b w:val="0"/>
          <w:bCs w:val="0"/>
        </w:rPr>
        <w:t>Competência concorrente -</w:t>
      </w:r>
      <w:r w:rsidR="00252C56" w:rsidRPr="007B0B53">
        <w:t xml:space="preserve"> Também foram considerados constitucionais os dispositivos que destinam um terço da carga horária dos professores a atividades fora da sala de aula; fixam número máximo de alunos; determinam que o piso salarial não pode ser inferior ao unificado nacionalmente; e estabelecem que a hora-aula não pode exceder 50 minutos. O colegiado entendeu que essas previsões estão dentro da competência concorrente do Estado para legislar sobre educação e de acordo com a diretriz constitucional de valorização dos profissionais da educação. </w:t>
      </w:r>
      <w:r w:rsidR="00252C56" w:rsidRPr="007B0B53">
        <w:rPr>
          <w:rStyle w:val="Forte"/>
          <w:b w:val="0"/>
          <w:bCs w:val="0"/>
        </w:rPr>
        <w:t>Formação mínima -</w:t>
      </w:r>
      <w:r w:rsidR="00252C56" w:rsidRPr="007B0B53">
        <w:t xml:space="preserve"> A maioria dos ministros considerou inválida, contudo, a previsão da lei estadual que exige o curso de licenciatura como formação mínima para o exercício de magistério na educação infantil. Barroso frisou que exigir ensino superior para professor de nível infantil pode criar uma escassez de oferta desnecessária. A exigência fica mantida para o ensino fundamental e médio. </w:t>
      </w:r>
      <w:r w:rsidR="00252C56" w:rsidRPr="007B0B53">
        <w:rPr>
          <w:rStyle w:val="Forte"/>
          <w:b w:val="0"/>
          <w:bCs w:val="0"/>
        </w:rPr>
        <w:t>Piso salarial</w:t>
      </w:r>
      <w:r w:rsidR="00252C56" w:rsidRPr="007B0B53">
        <w:t xml:space="preserve"> - O Tribunal também excluiu do artigo 92 da lei o trecho que diz que o piso salarial dos professores deve ser calculado com base em jornada de 30 horas-aula semanais, por entender que a previsão invade a competência privativa da União para legislar sobre direito do trabalho. </w:t>
      </w:r>
      <w:r w:rsidR="00252C56" w:rsidRPr="007B0B53">
        <w:rPr>
          <w:rStyle w:val="Forte"/>
          <w:b w:val="0"/>
          <w:bCs w:val="0"/>
        </w:rPr>
        <w:t>Rede pública</w:t>
      </w:r>
      <w:r w:rsidR="00252C56" w:rsidRPr="007B0B53">
        <w:t xml:space="preserve"> - Prevaleceu o entendimento de que os artigos 93 e 94, que tratam, respectivamente, do parâmetro da remuneração e dos planos de carreira dos professores, restringem-se à rede pública de ensino. A posição majoritária do Plenário é de que a extensão dessas exigências às escolas privadas representaria restrição excessiva à liberdade de iniciativa.</w:t>
      </w:r>
    </w:p>
    <w:p w:rsidR="0058220A" w:rsidRPr="007B0B53" w:rsidRDefault="00252C56" w:rsidP="0058220A">
      <w:pPr>
        <w:pStyle w:val="NormalWeb"/>
        <w:shd w:val="clear" w:color="auto" w:fill="FFFFFF"/>
        <w:spacing w:before="240" w:beforeAutospacing="0" w:after="0" w:afterAutospacing="0"/>
        <w:jc w:val="both"/>
        <w:textAlignment w:val="baseline"/>
      </w:pPr>
      <w:r w:rsidRPr="007B0B53">
        <w:t xml:space="preserve">STF </w:t>
      </w:r>
      <w:r w:rsidR="00522435" w:rsidRPr="007B0B53">
        <w:t xml:space="preserve">(SL 1783, in Notícias STF 01.04.2025) STF marca nova audiência em ação que julga retomada da concessão da Linha Amarela, no Rio - </w:t>
      </w:r>
      <w:r w:rsidR="00522435" w:rsidRPr="007B0B53">
        <w:rPr>
          <w:spacing w:val="-5"/>
        </w:rPr>
        <w:t xml:space="preserve">Prefeitura do Rio de Janeiro e a </w:t>
      </w:r>
      <w:proofErr w:type="spellStart"/>
      <w:r w:rsidR="00522435" w:rsidRPr="007B0B53">
        <w:rPr>
          <w:spacing w:val="-5"/>
        </w:rPr>
        <w:t>Lamsa</w:t>
      </w:r>
      <w:proofErr w:type="spellEnd"/>
      <w:r w:rsidR="00522435" w:rsidRPr="007B0B53">
        <w:rPr>
          <w:spacing w:val="-5"/>
        </w:rPr>
        <w:t xml:space="preserve"> vão realizar reunião técnica extrajudicial antes da nova rodada de conciliação no Supremo – </w:t>
      </w:r>
      <w:r w:rsidR="00522435" w:rsidRPr="007B0B53">
        <w:t>A Prefeitura do Rio de Janeiro e representantes da Linha Amarela S. A. (</w:t>
      </w:r>
      <w:proofErr w:type="spellStart"/>
      <w:r w:rsidR="00522435" w:rsidRPr="007B0B53">
        <w:t>Lamsa</w:t>
      </w:r>
      <w:proofErr w:type="spellEnd"/>
      <w:r w:rsidR="00522435" w:rsidRPr="007B0B53">
        <w:t>) concordaram em realizar uma reunião técnica extrajudicial para discutir propostas apresentadas no âmbito de uma ação que discute a retomada da concessão da via expressa pelo município. A matéria é objeto da Suspensão de Liminar </w:t>
      </w:r>
      <w:r w:rsidR="00522435" w:rsidRPr="007B0B53">
        <w:rPr>
          <w:rStyle w:val="Forte"/>
          <w:rFonts w:eastAsiaTheme="majorEastAsia"/>
          <w:b w:val="0"/>
        </w:rPr>
        <w:t>(SL) 1783</w:t>
      </w:r>
      <w:r w:rsidR="00522435" w:rsidRPr="007B0B53">
        <w:t>.</w:t>
      </w:r>
      <w:r w:rsidR="00522435" w:rsidRPr="007B0B53">
        <w:rPr>
          <w:spacing w:val="-5"/>
        </w:rPr>
        <w:t xml:space="preserve"> </w:t>
      </w:r>
      <w:r w:rsidR="00522435" w:rsidRPr="007B0B53">
        <w:t xml:space="preserve">A decisão consensual foi tomada em audiência realizada nesta terça-feira (1º), conduzida pelo Núcleo de </w:t>
      </w:r>
      <w:r w:rsidR="00522435" w:rsidRPr="007B0B53">
        <w:lastRenderedPageBreak/>
        <w:t>Solução Consensual de Conflitos (</w:t>
      </w:r>
      <w:proofErr w:type="spellStart"/>
      <w:r w:rsidR="00522435" w:rsidRPr="007B0B53">
        <w:t>Nusol</w:t>
      </w:r>
      <w:proofErr w:type="spellEnd"/>
      <w:r w:rsidR="00522435" w:rsidRPr="007B0B53">
        <w:t>) do Supremo. Uma nova rodada de conversas no Tribunal está agendada para 29/4, após as tratativas extrajudiciais.</w:t>
      </w:r>
      <w:r w:rsidR="00522435" w:rsidRPr="007B0B53">
        <w:rPr>
          <w:spacing w:val="-5"/>
        </w:rPr>
        <w:t xml:space="preserve"> </w:t>
      </w:r>
      <w:r w:rsidR="00522435" w:rsidRPr="007B0B53">
        <w:t xml:space="preserve">Há impasses em relação ao valor da tarifa, à legalidade de termos aditivos do contrato de concessão e à indenização por quebra de contrato. </w:t>
      </w:r>
      <w:r w:rsidR="00522435" w:rsidRPr="007B0B53">
        <w:rPr>
          <w:rStyle w:val="Forte"/>
          <w:b w:val="0"/>
          <w:bCs w:val="0"/>
        </w:rPr>
        <w:t>Entenda o caso -</w:t>
      </w:r>
      <w:r w:rsidR="00522435" w:rsidRPr="007B0B53">
        <w:rPr>
          <w:spacing w:val="-5"/>
        </w:rPr>
        <w:t xml:space="preserve"> </w:t>
      </w:r>
      <w:r w:rsidR="00522435" w:rsidRPr="007B0B53">
        <w:t>O Tribunal de Justiça do Estado do Rio de Janeiro (TJ-RJ) suspendeu os efeitos de uma lei municipal que autorizava a encampação, por entender que teria sido violado o direito da concessionária à indenização. O Superior Tribunal de Justiça (STJ), por sua vez, suspendeu a decisão do TJ-RJ, considerando que impedir o município de se responsabilizar pela administração direta desse serviço causaria lesão à ordem pública e administrativa.</w:t>
      </w:r>
      <w:r w:rsidR="00522435" w:rsidRPr="007B0B53">
        <w:rPr>
          <w:spacing w:val="-5"/>
        </w:rPr>
        <w:t xml:space="preserve"> </w:t>
      </w:r>
      <w:r w:rsidR="00522435" w:rsidRPr="007B0B53">
        <w:t xml:space="preserve">Em 2021, na Presidência do Tribunal, o ministro Luiz </w:t>
      </w:r>
      <w:proofErr w:type="spellStart"/>
      <w:r w:rsidR="00522435" w:rsidRPr="007B0B53">
        <w:t>Fux</w:t>
      </w:r>
      <w:proofErr w:type="spellEnd"/>
      <w:r w:rsidR="00522435" w:rsidRPr="007B0B53">
        <w:t xml:space="preserve"> suspendeu os efeitos da decisão do STJ e interrompeu o processo de encampação, para aguardar uma tentativa de conciliação entre o município e a concessionária, que não teve resultado. No final de 2024, o atual presidente do Tribunal, ministro Luís Roberto Barroso, manteve decisão liminar e encaminhou o caso ao Núcleo de Solução Consensual de Conflitos (</w:t>
      </w:r>
      <w:proofErr w:type="spellStart"/>
      <w:r w:rsidR="00522435" w:rsidRPr="007B0B53">
        <w:t>Nusol</w:t>
      </w:r>
      <w:proofErr w:type="spellEnd"/>
      <w:r w:rsidR="00522435" w:rsidRPr="007B0B53">
        <w:t>) para que as partes possam construir um acordo.</w:t>
      </w:r>
    </w:p>
    <w:p w:rsidR="0058220A" w:rsidRPr="007B0B53" w:rsidRDefault="0058220A" w:rsidP="0058220A">
      <w:pPr>
        <w:pStyle w:val="NormalWeb"/>
        <w:shd w:val="clear" w:color="auto" w:fill="FFFFFF"/>
        <w:spacing w:before="240" w:beforeAutospacing="0" w:after="0" w:afterAutospacing="0"/>
        <w:jc w:val="both"/>
        <w:textAlignment w:val="baseline"/>
      </w:pPr>
      <w:r w:rsidRPr="007B0B53">
        <w:t xml:space="preserve">STF (ACO 3494, in Notícias STF 01.04.2025) União, SC e Navegantes concordam em estudo técnico para segunda pista em aeroporto - </w:t>
      </w:r>
      <w:r w:rsidRPr="007B0B53">
        <w:rPr>
          <w:spacing w:val="-5"/>
        </w:rPr>
        <w:t>Ampliação do Aeroporto de Navegantes foi tema de audiência entre o estado e a União no STF -</w:t>
      </w:r>
      <w:r w:rsidRPr="007B0B53">
        <w:t>A União, o Estado de Santa Catarina e o Município de Navegantes concordaram, nesta segunda-feira (31), em realizar um estudo técnico sobre a necessidade de ampliar a infraestrutura aeroportuária do estado. O acordo foi feito em audiência de conciliação no Supremo Tribunal Federal (STF) motivada pela Ação Civil Originária</w:t>
      </w:r>
      <w:r w:rsidRPr="007B0B53">
        <w:rPr>
          <w:rStyle w:val="Forte"/>
          <w:rFonts w:eastAsiaTheme="majorEastAsia"/>
        </w:rPr>
        <w:t> </w:t>
      </w:r>
      <w:r w:rsidRPr="007B0B53">
        <w:rPr>
          <w:rStyle w:val="Forte"/>
          <w:rFonts w:eastAsiaTheme="majorEastAsia"/>
          <w:b w:val="0"/>
        </w:rPr>
        <w:t>(ACO) 3494</w:t>
      </w:r>
      <w:r w:rsidRPr="007B0B53">
        <w:t>, que questiona a legitimidade do processo de concessões dos aeroportos pelo governo federal. Uma empresa deverá conduzir o estudo técnico para reunir análises e projetos da iniciativa privada, com o objetivo de reduzir a assimetria de informações e incentivar a inovação. O estudo deve considerar os custos do transporte rodoviário, a demanda porto-aeroporto e a movimentação de cargas de Santa Catarina para outros aeroportos. O edital, segundo o acordo, tem 90 dias para ficar pronto e os estudos devem ser finalizados até o final do ano. Na ACO 3494, o Estado de Santa Catarina questiona medidas do governo federal que, segundo o governo local, podem comprometer o desenvolvimento da infraestrutura aeroportuária do estado pelos próximos 30 anos. A ação aponta que, sem justificativa clara e ignorando dados técnicos, os investimentos no Aeroporto de Curitiba (PR) foram aumentados, e os destinados ao Aeroporto de Navegantes foram reduzidos quase pela metade, criando uma situação de desequilíbrio na Região Sul. A ação está sob a relatoria do ministro Cristiano Zanin, a quem coube convocar a audiência de conciliação desta segunda. Participaram do encontro representantes do gabinete do ministro, do Núcleo de Solução Consensual de Conflitos do Tribunal, da Procuradoria-Geral da República, da Advocacia-Geral da União, dos governos federal e catarinense, do Município de Navegantes, do Senado e da sociedade civil do estado, entre outros.</w:t>
      </w:r>
    </w:p>
    <w:p w:rsidR="001938E6" w:rsidRPr="007B0B53" w:rsidRDefault="00522435" w:rsidP="001938E6">
      <w:pPr>
        <w:pStyle w:val="NormalWeb"/>
        <w:shd w:val="clear" w:color="auto" w:fill="FFFFFF"/>
        <w:spacing w:before="240" w:beforeAutospacing="0" w:after="0" w:afterAutospacing="0"/>
        <w:jc w:val="both"/>
        <w:textAlignment w:val="baseline"/>
      </w:pPr>
      <w:r w:rsidRPr="007B0B53">
        <w:t xml:space="preserve">STF </w:t>
      </w:r>
      <w:r w:rsidR="00C44938" w:rsidRPr="007B0B53">
        <w:t xml:space="preserve">(ADI 3816, in Migalhas 28.03.2025) Acessibilidade – STF valida lei que isenta pedágio para pessoas com deficiência - Ministros seguiram voto do relator, ministro Nunes Marques, segundo o qual a norma assegura maior efetividade aos direitos fundamentais das pessoas com deficiência. No plenário virtual, por unanimidade, o STF declarou a constitucionalidade parcial da lei 7.436/02, do Espírito Santo, que isenta veículos de pessoas com deficiência do pagamento de pedágio em rodovias estaduais. Para o relator do caso, ministro Nunes Marques, a norma assegura maior efetividade aos direitos fundamentais das pessoas com deficiência. A ação foi proposta pelo governador do Estado, sob a alegação de que a norma geraria desequilíbrio econômico-financeiro nos contratos de concessão das rodovias estaduais. Também sustentou invasão da competência privativa do Executivo para iniciar projeto de lei sobre matéria administrativa, o que teria violado o princípio da separação de poderes. Direito de ir e vir - No voto, o relator do caso, ministro Nunes Marques, destacou a ausência de elementos concretos que demonstrassem impacto financeiro relevante para as concessionárias em razão da isenção, observando que o benefício alcança grupo específico da população. "Todas as alegações, na realidade, são pautadas na suposição de que a isenção geraria efeito financeiro negativo relevante às empresas concessionárias. À míngua da comprovação efetiva do impacto, mostra-se inadequado o afastamento da presunção de constitucionalidade da norma, especialmente quando traduz verdadeira política afirmativa em favor das pessoas com deficiência." O relator também ressaltou que a medida promove acessibilidade e assegura maior efetividade aos direitos fundamentais das pessoas com deficiência, considerando, especialmente, o direito de ir e vir. "A lei impugnada interveio na ordem econômica para dar maior efetividade aos direitos fundamentais das pessoas com deficiência, considerando, em especial, o direito de ir e vir, que, para tais </w:t>
      </w:r>
      <w:r w:rsidR="00C44938" w:rsidRPr="007B0B53">
        <w:lastRenderedPageBreak/>
        <w:t xml:space="preserve">indivíduos, é geralmente mitigado." Além disso, o ministro afastou a alegação de incompetência do legislativo para regular a lei. Para S. </w:t>
      </w:r>
      <w:proofErr w:type="spellStart"/>
      <w:r w:rsidR="00C44938" w:rsidRPr="007B0B53">
        <w:t>Exa</w:t>
      </w:r>
      <w:proofErr w:type="spellEnd"/>
      <w:r w:rsidR="00C44938" w:rsidRPr="007B0B53">
        <w:t>, a norma "não versa criação de cargos, funções ou empregos públicos", nem trata de estrutura ou organização da administração pública, o que torna inaplicável a reserva de iniciativa do chefe do Executivo. Contudo, reconheceu a inconstitucionalidade do art. 3ª da lei estadual, que determina prazo de 60 dias para regulamentação pelo Poder Executivo. Segundo o relator, essa imposição viola a separação dos poderes, pois interfere indevidamente na atuação típica do Executivo. Ao seguir o entendimento do relator, ministro Gilmar Mendes ressaltou em voto que, em caso de eventual desequilíbrio econômico-financeiro causado pela norma, o contrato pode ser revisado ou, ainda, medidas compensatórias podem ser aplicadas pelas instâncias competentes para contornar o prejuízo.</w:t>
      </w:r>
    </w:p>
    <w:p w:rsidR="001938E6" w:rsidRPr="007B0B53" w:rsidRDefault="001938E6" w:rsidP="001938E6">
      <w:pPr>
        <w:pStyle w:val="NormalWeb"/>
        <w:shd w:val="clear" w:color="auto" w:fill="FFFFFF"/>
        <w:spacing w:before="240" w:beforeAutospacing="0" w:after="0" w:afterAutospacing="0"/>
        <w:jc w:val="both"/>
        <w:textAlignment w:val="baseline"/>
      </w:pPr>
      <w:r w:rsidRPr="007B0B53">
        <w:t xml:space="preserve">STF (ADI 7722, in Notícias STF 28.03.2025) STF invalida trecho de lei goiana sobre compartilhamento da infraestrutura de energia elétrica - </w:t>
      </w:r>
      <w:r w:rsidRPr="007B0B53">
        <w:rPr>
          <w:spacing w:val="-5"/>
        </w:rPr>
        <w:t xml:space="preserve">Em decisão unânime, Plenário virtual concluiu que cabe à União regulamentar e fiscalizar a matéria – </w:t>
      </w:r>
      <w:r w:rsidRPr="007B0B53">
        <w:t>Por unanimidade, o Supremo Tribunal Federal (STF) declarou inconstitucional parte de lei do Estado de Goiás que trata do compartilhamento de infraestrutura na exploração dos serviços públicos de energia elétrica. A decisão foi tomada no julgamento da Ação Direta de Inconstitucionalidade </w:t>
      </w:r>
      <w:r w:rsidRPr="007B0B53">
        <w:rPr>
          <w:rStyle w:val="Forte"/>
          <w:rFonts w:eastAsiaTheme="majorEastAsia"/>
          <w:b w:val="0"/>
        </w:rPr>
        <w:t>(ADI) 7722</w:t>
      </w:r>
      <w:r w:rsidRPr="007B0B53">
        <w:t>, na sessão virtual finalizada em 21/3. A Lei estadual 22.474/2023 estabelece diretrizes para o compartilhamento de infraestrutura – como postes, torres e dutos – entre exploradores de serviços de energia elétrica e prestadores de serviços de telecomunicações no estado e impõe um valor máximo para cada unidade compartilhada e regras para o processo de solicitação de compartilhamento. A Associação Brasileira de Distribuidores de Energia Elétrica (</w:t>
      </w:r>
      <w:proofErr w:type="spellStart"/>
      <w:r w:rsidRPr="007B0B53">
        <w:t>Abradee</w:t>
      </w:r>
      <w:proofErr w:type="spellEnd"/>
      <w:r w:rsidRPr="007B0B53">
        <w:t xml:space="preserve">), autora da ação, argumentava que ela interfere na competência privativa da União para legislar sobre o setor. </w:t>
      </w:r>
      <w:r w:rsidRPr="007B0B53">
        <w:rPr>
          <w:rStyle w:val="Forte"/>
          <w:b w:val="0"/>
          <w:bCs w:val="0"/>
        </w:rPr>
        <w:t>Competência da União -</w:t>
      </w:r>
      <w:r w:rsidRPr="007B0B53">
        <w:t xml:space="preserve"> O relator, ministro Alexandre de Moraes, assinalou que cabe à União regulamentar e fiscalizar o serviço concedido e garantir o cumprimento das regras e cláusulas contratuais da concessão. A seu ver, a lei estadual pode entrar em conflito com as normas federais e extrapolar a competência estadual para legislar sobre a matéria. </w:t>
      </w:r>
      <w:r w:rsidRPr="007B0B53">
        <w:rPr>
          <w:rStyle w:val="Forte"/>
          <w:b w:val="0"/>
          <w:bCs w:val="0"/>
        </w:rPr>
        <w:t xml:space="preserve">Aneel - </w:t>
      </w:r>
      <w:r w:rsidRPr="007B0B53">
        <w:t xml:space="preserve">Segundo ele, a Agência Nacional de Energia Elétrica (Aneel) é responsável por implementar políticas do governo federal para exploração da energia elétrica, elaborando normas que devem ser seguidas pelos entes federados. Assim, o estado não pode estabelecer regras em contrariedade às definidas pela agência federal. </w:t>
      </w:r>
      <w:r w:rsidRPr="007B0B53">
        <w:rPr>
          <w:rStyle w:val="Forte"/>
          <w:b w:val="0"/>
          <w:bCs w:val="0"/>
        </w:rPr>
        <w:t xml:space="preserve">Riscos aos contratos - </w:t>
      </w:r>
      <w:r w:rsidRPr="007B0B53">
        <w:t>Na avaliação do ministro Alexandre, a lei questionada também apresenta riscos ao equilíbrio econômico-financeiro dos contratos de concessão, pois limita o valor das unidades de infraestrutura compartilhada sem considerar a inflação, além de aumentar a carga tributária para os municípios.</w:t>
      </w:r>
    </w:p>
    <w:p w:rsidR="00FA1239" w:rsidRPr="007B0B53" w:rsidRDefault="00FA1239" w:rsidP="00FA1239">
      <w:pPr>
        <w:pStyle w:val="NormalWeb"/>
        <w:shd w:val="clear" w:color="auto" w:fill="FFFFFF"/>
        <w:spacing w:before="240" w:beforeAutospacing="0" w:after="0" w:afterAutospacing="0"/>
        <w:jc w:val="both"/>
        <w:textAlignment w:val="baseline"/>
      </w:pPr>
      <w:r w:rsidRPr="007B0B53">
        <w:t xml:space="preserve">STF (RE 1417155, ADPF 1028, ADPF 1029, in Notícias STF 26.03.2025) Taxas estaduais de prevenção e combate a incêndios são constitucionais, diz STF - </w:t>
      </w:r>
      <w:r w:rsidRPr="007B0B53">
        <w:rPr>
          <w:spacing w:val="-5"/>
        </w:rPr>
        <w:t>Em matéria com repercussão geral reconhecida, STF julgou legítimas as cobranças adotadas no RN, em PE e no RJ</w:t>
      </w:r>
      <w:r w:rsidRPr="007B0B53">
        <w:t xml:space="preserve"> - O Supremo Tribunal Federal (STF) decidiu, nesta quarta-feira (26), que as taxas estaduais de prevenção e extinção de incêndios cobradas pelos corpos de bombeiros são constitucionais. A decisão, tomada em matéria com repercussão geral reconhecida (Tema 1.282), deverá ser seguida pelas demais instâncias do Judiciário em casos semelhantes. O Tribunal analisou três processos sobre o mesmo tema: o Recurso Extraordinário </w:t>
      </w:r>
      <w:r w:rsidRPr="007B0B53">
        <w:rPr>
          <w:rStyle w:val="Forte"/>
          <w:rFonts w:eastAsiaTheme="majorEastAsia"/>
          <w:b w:val="0"/>
        </w:rPr>
        <w:t>(RE) 1417155</w:t>
      </w:r>
      <w:r w:rsidRPr="007B0B53">
        <w:t xml:space="preserve">, que trata da taxa no Rio Grande do Norte, sob relatoria do ministro Dias </w:t>
      </w:r>
      <w:proofErr w:type="spellStart"/>
      <w:r w:rsidRPr="007B0B53">
        <w:t>Toffoli</w:t>
      </w:r>
      <w:proofErr w:type="spellEnd"/>
      <w:r w:rsidRPr="007B0B53">
        <w:t>, e as Arguições de Descumprimento de Preceito Fundamental (</w:t>
      </w:r>
      <w:proofErr w:type="spellStart"/>
      <w:r w:rsidRPr="007B0B53">
        <w:t>ADPFs</w:t>
      </w:r>
      <w:proofErr w:type="spellEnd"/>
      <w:r w:rsidRPr="007B0B53">
        <w:t>) </w:t>
      </w:r>
      <w:r w:rsidRPr="007B0B53">
        <w:rPr>
          <w:rStyle w:val="Forte"/>
          <w:rFonts w:eastAsiaTheme="majorEastAsia"/>
          <w:b w:val="0"/>
        </w:rPr>
        <w:t>1028</w:t>
      </w:r>
      <w:r w:rsidRPr="007B0B53">
        <w:t> e </w:t>
      </w:r>
      <w:r w:rsidRPr="007B0B53">
        <w:rPr>
          <w:rStyle w:val="Forte"/>
          <w:rFonts w:eastAsiaTheme="majorEastAsia"/>
          <w:b w:val="0"/>
        </w:rPr>
        <w:t>1029</w:t>
      </w:r>
      <w:r w:rsidRPr="007B0B53">
        <w:t xml:space="preserve">, relativas a Pernambuco e ao Rio de Janeiro, relatadas pelo ministro Edson </w:t>
      </w:r>
      <w:proofErr w:type="spellStart"/>
      <w:r w:rsidRPr="007B0B53">
        <w:t>Fachin</w:t>
      </w:r>
      <w:proofErr w:type="spellEnd"/>
      <w:r w:rsidRPr="007B0B53">
        <w:t xml:space="preserve">. Nos três casos, </w:t>
      </w:r>
      <w:proofErr w:type="spellStart"/>
      <w:r w:rsidRPr="007B0B53">
        <w:t>Toffoli</w:t>
      </w:r>
      <w:proofErr w:type="spellEnd"/>
      <w:r w:rsidRPr="007B0B53">
        <w:t xml:space="preserve"> e </w:t>
      </w:r>
      <w:proofErr w:type="spellStart"/>
      <w:r w:rsidRPr="007B0B53">
        <w:t>Fachin</w:t>
      </w:r>
      <w:proofErr w:type="spellEnd"/>
      <w:r w:rsidRPr="007B0B53">
        <w:t xml:space="preserve"> votaram pela constitucionalidade das taxas. </w:t>
      </w:r>
      <w:proofErr w:type="spellStart"/>
      <w:r w:rsidRPr="007B0B53">
        <w:t>Fachin</w:t>
      </w:r>
      <w:proofErr w:type="spellEnd"/>
      <w:r w:rsidRPr="007B0B53">
        <w:t xml:space="preserve"> ressalvou que o entendimento não se aplica à cobrança de taxas para inspeção veicular em Pernambuco nem à emissão de certidões individuais no Rio de Janeiro. No Rio Grande do Norte, uma lei local já havia afastado essa possibilidade. Essa posição foi acompanhada pelos ministros Luís Roberto Barroso, Gilmar Mendes, Nunes Marques, André Mendonça e Cristiano Zanin. Quanto às taxas para inspeção veicular e emissão de certidões, que já estavam em vigor, elas perderão validade a partir da publicação da decisão. </w:t>
      </w:r>
      <w:r w:rsidRPr="007B0B53">
        <w:rPr>
          <w:rStyle w:val="Forte"/>
          <w:b w:val="0"/>
          <w:bCs w:val="0"/>
        </w:rPr>
        <w:t>Divergências -</w:t>
      </w:r>
      <w:r w:rsidRPr="007B0B53">
        <w:t xml:space="preserve"> O ministro Flávio Dino discordou dos relatores. Ele argumentou que os serviços financiados por essas novas cobranças só poderiam ser custeados por impostos, não por taxas adicionais. Já as taxas para emissão de certificados específicos, que atendem a casos particulares, são constitucionais. Dino foi acompanhado por </w:t>
      </w:r>
      <w:proofErr w:type="spellStart"/>
      <w:r w:rsidRPr="007B0B53">
        <w:t>Cármen</w:t>
      </w:r>
      <w:proofErr w:type="spellEnd"/>
      <w:r w:rsidRPr="007B0B53">
        <w:t xml:space="preserve"> Lúcia. O ministro Alexandre de Moraes discordou de </w:t>
      </w:r>
      <w:proofErr w:type="spellStart"/>
      <w:r w:rsidRPr="007B0B53">
        <w:t>Toffoli</w:t>
      </w:r>
      <w:proofErr w:type="spellEnd"/>
      <w:r w:rsidRPr="007B0B53">
        <w:t xml:space="preserve"> e </w:t>
      </w:r>
      <w:proofErr w:type="spellStart"/>
      <w:r w:rsidRPr="007B0B53">
        <w:t>Fachin</w:t>
      </w:r>
      <w:proofErr w:type="spellEnd"/>
      <w:r w:rsidRPr="007B0B53">
        <w:t xml:space="preserve"> apenas em relação à taxa para inspeção veicular. Para ele, o legislador de Pernambuco justificou a medida como contrapartida à atribuição de uma nova função aos bombeiros. O ministro Luiz </w:t>
      </w:r>
      <w:proofErr w:type="spellStart"/>
      <w:r w:rsidRPr="007B0B53">
        <w:t>Fux</w:t>
      </w:r>
      <w:proofErr w:type="spellEnd"/>
      <w:r w:rsidRPr="007B0B53">
        <w:t xml:space="preserve">, por sua vez, considerou constitucionais tanto as taxas de inspeção veicular quanto as de emissão de </w:t>
      </w:r>
      <w:r w:rsidRPr="007B0B53">
        <w:lastRenderedPageBreak/>
        <w:t xml:space="preserve">certidões. </w:t>
      </w:r>
      <w:r w:rsidRPr="007B0B53">
        <w:rPr>
          <w:rStyle w:val="Forte"/>
          <w:b w:val="0"/>
          <w:bCs w:val="0"/>
        </w:rPr>
        <w:t>Tese -</w:t>
      </w:r>
      <w:r w:rsidRPr="007B0B53">
        <w:t xml:space="preserve"> A tese de repercussão geral fixada foi a seguinte: “São constitucionais as taxas estaduais pela utilização efetiva ou potencial dos serviços públicos de prevenção e combate a incêndios, busca, salvamento ou resgate prestados ao contribuinte ou postos à sua disposição pelos corpos de bombeiros militares.”</w:t>
      </w:r>
    </w:p>
    <w:p w:rsidR="00560908" w:rsidRPr="007B0B53" w:rsidRDefault="00C263C0" w:rsidP="00560908">
      <w:pPr>
        <w:pStyle w:val="NormalWeb"/>
        <w:shd w:val="clear" w:color="auto" w:fill="FFFFFF"/>
        <w:spacing w:before="240" w:beforeAutospacing="0" w:after="0" w:afterAutospacing="0"/>
        <w:jc w:val="both"/>
        <w:textAlignment w:val="baseline"/>
      </w:pPr>
      <w:r w:rsidRPr="007B0B53">
        <w:t xml:space="preserve">STF </w:t>
      </w:r>
      <w:r w:rsidR="00560908" w:rsidRPr="007B0B53">
        <w:t xml:space="preserve">(Rcl 77357, in Notícias STF 25.03.2025) STF restabelece atribuições de segurança pública da Guarda Municipal de Itaquaquecetuba (SP) - </w:t>
      </w:r>
      <w:r w:rsidR="00560908" w:rsidRPr="007B0B53">
        <w:rPr>
          <w:spacing w:val="-5"/>
        </w:rPr>
        <w:t>Decisão do ministro Flávio Dino, no entanto, barra adoção do termo “Polícia Municipal” para a instituição -</w:t>
      </w:r>
      <w:r w:rsidR="00560908" w:rsidRPr="007B0B53">
        <w:t xml:space="preserve"> O ministro Flávio Dino, do Supremo Tribunal Federal (STF), restabeleceu norma que prevê a competência da Guarda Municipal de Itaquaquecetuba (SP) para executar ações de segurança urbana, incluindo policiamento preventivo e comunitário. A decisão foi tomada na Reclamação </w:t>
      </w:r>
      <w:r w:rsidR="00560908" w:rsidRPr="007B0B53">
        <w:rPr>
          <w:rStyle w:val="Forte"/>
          <w:rFonts w:eastAsiaTheme="majorEastAsia"/>
          <w:b w:val="0"/>
        </w:rPr>
        <w:t>(RCL) 77357</w:t>
      </w:r>
      <w:r w:rsidR="00560908" w:rsidRPr="007B0B53">
        <w:t>, apresentada pela Associação Nacional de Altos Estudos de Guarda Municipal (</w:t>
      </w:r>
      <w:proofErr w:type="spellStart"/>
      <w:r w:rsidR="00560908" w:rsidRPr="007B0B53">
        <w:t>Anaegm</w:t>
      </w:r>
      <w:proofErr w:type="spellEnd"/>
      <w:r w:rsidR="00560908" w:rsidRPr="007B0B53">
        <w:t xml:space="preserve">). A entidade questionava a suspensão, pelo Tribunal de Justiça do Estado de São Paulo (TJ-SP), da Lei Complementar 403/2025 de Itaquaquecetuba, que alterou a denominação da Guarda Civil Municipal para Polícia Municipal e atualizou a competência da instituição. </w:t>
      </w:r>
      <w:r w:rsidR="00560908" w:rsidRPr="007B0B53">
        <w:rPr>
          <w:rStyle w:val="Forte"/>
          <w:b w:val="0"/>
          <w:bCs w:val="0"/>
        </w:rPr>
        <w:t>Segurança pública</w:t>
      </w:r>
      <w:r w:rsidR="00560908" w:rsidRPr="007B0B53">
        <w:t xml:space="preserve"> - Ao cassar parcialmente a decisão do TJ-SP, Dino explicou que, no julgamento da Arguição de Descumprimento de Preceito Fundamental (ADPF) 995 e do Recurso Extraordinário (RE) 608588 (Tema 656 de repercussão geral), o STF reconheceu que as guardas municipais integram o Sistema Único de Segurança Pública e têm atribuições legítimas de segurança urbana, incluindo o policiamento preventivo e comunitário. Segundo Dino, ao suspender a legislação local sob o argumento de que a ampliação das competências aumentaria despesas públicas, o TJ-SP se afastou do entendimento consolidado do STF sobre a matéria. Ainda que a execução dessas atividades demande investimentos, essa circunstância não afasta a obrigação do município de estabelecer, por meio de lei, as atribuições da guarda em conformidade com a Constituição e com a jurisprudência do STF. </w:t>
      </w:r>
      <w:r w:rsidR="00560908" w:rsidRPr="007B0B53">
        <w:rPr>
          <w:rStyle w:val="Forte"/>
          <w:b w:val="0"/>
          <w:bCs w:val="0"/>
        </w:rPr>
        <w:t>Nomenclatura</w:t>
      </w:r>
      <w:r w:rsidR="00560908" w:rsidRPr="007B0B53">
        <w:t xml:space="preserve"> - O ministro, no entanto, manteve a parte da decisão do TJ que barrou a mudança da nomenclatura da instituição. Dino explicou que tanto a Constituição quanto a legislação nacional utilizam o termo “guardas municipais”, e essa denominação é um elemento essencial da identidade institucional desses órgãos. Segundo ele, a terminologia não é meramente simbólica ou acidental, mas traduz a estrutura organizacional e funcional das instituições públicas, “assegurando coerência e estabilidade ao ordenamento jurídico em um estado federal, no qual a autonomia dos entes subnacionais é limitada e não significa soberania”.</w:t>
      </w:r>
    </w:p>
    <w:p w:rsidR="00020909" w:rsidRPr="007B0B53" w:rsidRDefault="00560908" w:rsidP="00020909">
      <w:pPr>
        <w:pStyle w:val="NormalWeb"/>
        <w:shd w:val="clear" w:color="auto" w:fill="FFFFFF"/>
        <w:spacing w:before="240" w:beforeAutospacing="0" w:after="0" w:afterAutospacing="0"/>
        <w:jc w:val="both"/>
        <w:textAlignment w:val="baseline"/>
        <w:rPr>
          <w:spacing w:val="-5"/>
        </w:rPr>
      </w:pPr>
      <w:r w:rsidRPr="007B0B53">
        <w:t xml:space="preserve">STF </w:t>
      </w:r>
      <w:r w:rsidR="00020909" w:rsidRPr="007B0B53">
        <w:t xml:space="preserve">(SL 1085, in Notícias STF 19.03.2025) STF restabelece validade de decreto que autoriza parcerias para construção e manutenção de escolas em SP - </w:t>
      </w:r>
      <w:r w:rsidR="00020909" w:rsidRPr="007B0B53">
        <w:rPr>
          <w:spacing w:val="-5"/>
        </w:rPr>
        <w:t xml:space="preserve">Presidente do STF, ministro Luís Roberto Barroso, verificou que a suspensão dos contratos pode causar prejuízos à política educacional do estado –  </w:t>
      </w:r>
      <w:r w:rsidR="00020909" w:rsidRPr="007B0B53">
        <w:t>O presidente do Supremo Tribunal Federal (STF), ministro Luís Roberto Barroso, restabeleceu a validade de um decreto do Estado de São Paulo que autoriza a concessão administrativa para construção e manutenção de escolas. A decisão foi tomada na Suspensão de Liminar </w:t>
      </w:r>
      <w:r w:rsidR="00020909" w:rsidRPr="007B0B53">
        <w:rPr>
          <w:rStyle w:val="Forte"/>
          <w:rFonts w:eastAsiaTheme="majorEastAsia"/>
          <w:b w:val="0"/>
        </w:rPr>
        <w:t>(SL) 1805</w:t>
      </w:r>
      <w:r w:rsidR="00020909" w:rsidRPr="007B0B53">
        <w:t>.</w:t>
      </w:r>
      <w:r w:rsidR="00020909" w:rsidRPr="007B0B53">
        <w:rPr>
          <w:spacing w:val="-5"/>
        </w:rPr>
        <w:t xml:space="preserve"> </w:t>
      </w:r>
      <w:r w:rsidR="00020909" w:rsidRPr="007B0B53">
        <w:t>A validade do decreto estava suspensa por liminar concedida pelo Tribunal de Justiça do Estado de São Paulo (TJ-SP) em ação ajuizada pelo Partido Socialismo e Liberdade (PSOL). Entre outros pontos, o partido argumentou que o modelo de parceria público-privada (PPP) adotado esvaziaria o papel do Estado na gestão da rede pública e criaria dependência financeira do ente público com as concessionárias.</w:t>
      </w:r>
      <w:r w:rsidR="00020909" w:rsidRPr="007B0B53">
        <w:rPr>
          <w:spacing w:val="-5"/>
        </w:rPr>
        <w:t xml:space="preserve"> </w:t>
      </w:r>
      <w:r w:rsidR="00020909" w:rsidRPr="007B0B53">
        <w:t xml:space="preserve">No pedido ao STF, o governo estadual afirma que a paralisação dos contratos comprometeria a oferta de 34.500 novas vagas nas escolas e prejudicaria a qualidade do ambiente escolar, especialmente em municípios com alta demanda educacional. Sustenta, ainda, que os serviços foram concedidos após licitação regular e que os contratos preveem a manutenção e a operação de serviços não pedagógicos e a construção de 33 novas unidades escolares. </w:t>
      </w:r>
      <w:r w:rsidR="00020909" w:rsidRPr="007B0B53">
        <w:rPr>
          <w:rStyle w:val="Forte"/>
          <w:b w:val="0"/>
          <w:bCs w:val="0"/>
        </w:rPr>
        <w:t>Riscos de prejuízos ao Estado</w:t>
      </w:r>
      <w:r w:rsidR="00020909" w:rsidRPr="007B0B53">
        <w:rPr>
          <w:spacing w:val="-5"/>
        </w:rPr>
        <w:t xml:space="preserve"> - </w:t>
      </w:r>
      <w:r w:rsidR="00020909" w:rsidRPr="007B0B53">
        <w:t>Na decisão cautelar, Barroso destacou que o cenário apresentado pelo governo estadual evidencia risco de grave lesão à ordem pública. O ministro explicou que a delegação de serviços públicos por meio de concessão ou PPP não implica perda da titularidade pelo Estado, mas a transferência da execução de determinadas atividades a um particular, por tempo determinado e sob condições previamente estabelecidas.</w:t>
      </w:r>
      <w:r w:rsidR="00020909" w:rsidRPr="007B0B53">
        <w:rPr>
          <w:spacing w:val="-5"/>
        </w:rPr>
        <w:t xml:space="preserve"> </w:t>
      </w:r>
      <w:r w:rsidR="00020909" w:rsidRPr="007B0B53">
        <w:t xml:space="preserve">Barroso observou que o contrato foi firmado após licitação, em que foram adotados mecanismos de participação social, e o estado realizou modelagem prévia, nos termos da Lei das </w:t>
      </w:r>
      <w:proofErr w:type="spellStart"/>
      <w:r w:rsidR="00020909" w:rsidRPr="007B0B53">
        <w:t>PPPs</w:t>
      </w:r>
      <w:proofErr w:type="spellEnd"/>
      <w:r w:rsidR="00020909" w:rsidRPr="007B0B53">
        <w:t xml:space="preserve"> (Lei 11.079/2004).</w:t>
      </w:r>
      <w:r w:rsidR="00020909" w:rsidRPr="007B0B53">
        <w:rPr>
          <w:spacing w:val="-5"/>
        </w:rPr>
        <w:t xml:space="preserve"> </w:t>
      </w:r>
      <w:r w:rsidR="00020909" w:rsidRPr="007B0B53">
        <w:t>Outro aspecto levado em consideração para suspender a liminar foi a necessidade de evitar prejuízos à política educacional e aos cofres públicos. “Com prazos definidos e compromissos já assumidos, a descontinuidade impõe custos de desmobilização, atrasos na entrega das novas unidades escolares e na manutenção das existentes, além do risco de prejuízos ao erário decorrentes de indenizações e encargos contratuais”, afirmou.</w:t>
      </w:r>
      <w:r w:rsidR="00020909" w:rsidRPr="007B0B53">
        <w:rPr>
          <w:spacing w:val="-5"/>
        </w:rPr>
        <w:t xml:space="preserve"> </w:t>
      </w:r>
      <w:r w:rsidR="00020909" w:rsidRPr="007B0B53">
        <w:t xml:space="preserve">O presidente salientou, ainda, que </w:t>
      </w:r>
      <w:r w:rsidR="00020909" w:rsidRPr="007B0B53">
        <w:lastRenderedPageBreak/>
        <w:t>os serviços previstos no decreto estadual, como manutenção predial, vigilância, limpeza, alimentação e jardinagem, não incluem atividades pedagógicas ou de ensino, mas apenas serviços que já são tradicionalmente realizados por meio de prestadores privados, contratados mediante licitação.</w:t>
      </w:r>
    </w:p>
    <w:p w:rsidR="00916083" w:rsidRPr="007B0B53" w:rsidRDefault="00020909" w:rsidP="00916083">
      <w:pPr>
        <w:pStyle w:val="NormalWeb"/>
        <w:shd w:val="clear" w:color="auto" w:fill="FFFFFF"/>
        <w:spacing w:before="240" w:beforeAutospacing="0" w:after="0" w:afterAutospacing="0"/>
        <w:jc w:val="both"/>
        <w:textAlignment w:val="baseline"/>
      </w:pPr>
      <w:r w:rsidRPr="007B0B53">
        <w:t xml:space="preserve">STF </w:t>
      </w:r>
      <w:r w:rsidR="00916083" w:rsidRPr="007B0B53">
        <w:t xml:space="preserve">(ADPF 1212, in Notícias STF 14.03.2025) Partido entra com ação no STF contra lotéricas municipais - </w:t>
      </w:r>
      <w:r w:rsidR="00916083" w:rsidRPr="007B0B53">
        <w:rPr>
          <w:spacing w:val="-5"/>
        </w:rPr>
        <w:t>Solidariedade defende que leis locais que instituíram esses serviços são inconstitucionais e criam caos financeiro -</w:t>
      </w:r>
      <w:r w:rsidR="00916083" w:rsidRPr="007B0B53">
        <w:t xml:space="preserve"> O partido Solidariedade ajuizou uma ação no Supremo Tribunal Federal (STF) que questiona a exploração do serviço de lotéricas municipais. A legenda alega que leis locais recentes que regulam esses estabelecimentos violam a ordem federal e criam “um cenário verdadeiramente caótico” que prejudica o recolhimento e a distribuição de impostos. A Arguição de Descumprimento de Preceito Fundamental </w:t>
      </w:r>
      <w:r w:rsidR="00916083" w:rsidRPr="007B0B53">
        <w:rPr>
          <w:rStyle w:val="Forte"/>
          <w:rFonts w:eastAsiaTheme="majorEastAsia"/>
          <w:b w:val="0"/>
        </w:rPr>
        <w:t>(ADPF) 1212</w:t>
      </w:r>
      <w:r w:rsidR="00916083" w:rsidRPr="007B0B53">
        <w:rPr>
          <w:b/>
        </w:rPr>
        <w:t> </w:t>
      </w:r>
      <w:r w:rsidR="00916083" w:rsidRPr="007B0B53">
        <w:t>está sob a relatoria do ministro Nunes Marques. Na ação, o Solidariedade pede que todas as leis e decretos municipais que estabelecem sistemas lotéricos de sorteio ou de apostas sejam suspensos provisoriamente (por liminar), até que o STF se pronuncie, no mérito, sobre sua inconstitucionalidade. O partido defende que essas regras locais invadem a competência exclusiva da União para legislar sobre o tema, com o objetivo de incrementar suas receitas “a qualquer custo”. “Há um sem número de municípios que escancaram a estrutura pública a empresas não autorizadas para, por meio da exploração da atividade lotérica, se apropriarem de maneira maquiada de legitimidade por leis municipais, mas ilícita, dos recursos dos cidadãos”, afirma. A ação reúne diversos casos em que empresas privadas venceram licitações para explorar os serviços lotéricos cedidos pelos municípios, mesmo sem a devida autorização do Ministério da Fazenda. De acordo com o Solidariedade, enquanto a pasta estabelece um valor de R$ 30 milhões para essas concessões, em alguns casos as empresas pagam apenas R$ 5 mil. Caso as lotéricas municipais não sejam invalidadas, o Solidariedade argumenta que empresas com autorização para atuar nacionalmente terão um incentivo para se expandir também nos municípios. Isso resultaria em maior risco para os consumidores, em razão da falta de garantias sobre a idoneidade dos serviços oferecidos, já que cada cidade terá seu próprio regramento.</w:t>
      </w:r>
    </w:p>
    <w:p w:rsidR="00543A14" w:rsidRPr="007B0B53" w:rsidRDefault="00916083" w:rsidP="00543A14">
      <w:pPr>
        <w:pStyle w:val="NormalWeb"/>
        <w:shd w:val="clear" w:color="auto" w:fill="FFFFFF"/>
        <w:spacing w:before="240" w:beforeAutospacing="0" w:after="0" w:afterAutospacing="0"/>
        <w:jc w:val="both"/>
        <w:textAlignment w:val="baseline"/>
      </w:pPr>
      <w:r w:rsidRPr="007B0B53">
        <w:t xml:space="preserve">STF </w:t>
      </w:r>
      <w:r w:rsidR="004D6BC6" w:rsidRPr="007B0B53">
        <w:t>(</w:t>
      </w:r>
      <w:r w:rsidR="00543A14" w:rsidRPr="007B0B53">
        <w:t>MI 7490</w:t>
      </w:r>
      <w:r w:rsidR="002F48CD" w:rsidRPr="007B0B53">
        <w:t>, in Notícias STF 11</w:t>
      </w:r>
      <w:r w:rsidR="004D6BC6" w:rsidRPr="007B0B53">
        <w:t xml:space="preserve">.03.2025) STF determina que Congresso assegure a indígenas participação em resultados de hidrelétricas em suas terras - </w:t>
      </w:r>
      <w:r w:rsidR="004D6BC6" w:rsidRPr="007B0B53">
        <w:rPr>
          <w:spacing w:val="-5"/>
        </w:rPr>
        <w:t>Em decisão liminar, ministro Flávio Dino garantiu que comunidades indígenas afetadas pela usina de Belo Monte participem dos resultados do empreendimento</w:t>
      </w:r>
      <w:r w:rsidR="00543A14" w:rsidRPr="007B0B53">
        <w:rPr>
          <w:spacing w:val="-5"/>
        </w:rPr>
        <w:t xml:space="preserve"> -</w:t>
      </w:r>
      <w:r w:rsidR="00543A14" w:rsidRPr="007B0B53">
        <w:t xml:space="preserve"> O ministro Flávio Dino, do Supremo Tribunal Federal (STF), reconheceu a omissão do Congresso Nacional em assegurar aos povos indígenas o direito de reparação por danos decorrentes de empreendimentos hidrelétricos em seus territórios. Ele deu prazo de 24 meses para que o Legislativo regulamente artigos da Constituição Federal que lhes garantem a participação nos resultados da exploração de recursos em seus territórios. A liminar foi concedida no Mandado de Injunção </w:t>
      </w:r>
      <w:r w:rsidR="00543A14" w:rsidRPr="007B0B53">
        <w:rPr>
          <w:rStyle w:val="Forte"/>
          <w:rFonts w:eastAsiaTheme="majorEastAsia"/>
          <w:b w:val="0"/>
        </w:rPr>
        <w:t>(MI) 7490</w:t>
      </w:r>
      <w:r w:rsidR="00543A14" w:rsidRPr="007B0B53">
        <w:t xml:space="preserve">. Esse tipo de ação visa garantir direitos e liberdades constitucionais na falta de norma regulamentadora que torne inviável seu exercício. A decisão será submetida a referendo do Plenário na sessão virtual de 21 a 28/03/2025. Em relação ao caso específico das comunidades indígenas afetadas com a implementação da Usina Hidrelétrica de Belo Monte (UHBM), no Pará, Dino definiu que elas têm direito de participação nos resultados do empreendimento até que a omissão legislativa seja sanada. Ainda segundo a decisão, a medida deve ser aplicada a outros empreendimentos em que haja aproveitamento dos potenciais energéticos de recursos hídricos. </w:t>
      </w:r>
      <w:r w:rsidR="00543A14" w:rsidRPr="007B0B53">
        <w:rPr>
          <w:rStyle w:val="Forte"/>
          <w:b w:val="0"/>
          <w:bCs w:val="0"/>
        </w:rPr>
        <w:t>Omissão -</w:t>
      </w:r>
      <w:r w:rsidR="00543A14" w:rsidRPr="007B0B53">
        <w:t xml:space="preserve"> A ação foi proposta por associações de povos indígenas da região do Médio Xingu, no Pará. As entidades afirmam que a construção e a operação da UHBM geraram mudanças significativas em seu modo de vida, além de problemas sociais, sanitários e ambientais. De acordo com as associações, não há norma que regulamente os dispositivos da Constituição Federal que preveem que os recursos hídricos em terras indígenas, incluídos os potenciais energéticos, a pesquisa e a lavra das riquezas minerais, só pode ser aproveitados se as comunidades afetadas forem ouvidas, ficando-lhes assegurada participação nos resultados. Segundo elas, enquanto o empreendimento hidrelétrico passa a gerar lucros, “os donos do rio estão sem rio e vivendo em situação de miserabilidade, sem que haja qualquer repasse dos lucros bilionários auferidos pela Norte Energia S.A., consórcio responsável pela UHBM”. </w:t>
      </w:r>
      <w:r w:rsidR="00543A14" w:rsidRPr="007B0B53">
        <w:rPr>
          <w:rStyle w:val="Forte"/>
          <w:b w:val="0"/>
          <w:bCs w:val="0"/>
        </w:rPr>
        <w:t>Participação nos resultados da exploração -</w:t>
      </w:r>
      <w:r w:rsidR="00543A14" w:rsidRPr="007B0B53">
        <w:t xml:space="preserve"> Na decisão, Dino afirmou que, de acordo com a Constituição Federal e normas internacionais, os povos indígenas são titulares do direito à participação nos resultados da exploração de recursos hídricos e da lavra de minerais em suas terras. Ocorre que não há nenhuma norma jurídica que discipline a matéria, que, no caso de Belo Monte, se refere aos recursos hídricos. Dino constatou que, apesar de alguns projetos de lei em trâmite sobre o tema, há uma omissão legislativa de quase 37 anos de inércia para editar normas que disciplinem os artigos 176, </w:t>
      </w:r>
      <w:r w:rsidR="00543A14" w:rsidRPr="007B0B53">
        <w:lastRenderedPageBreak/>
        <w:t>parágrafo 1º, e 231 da Constituição de 1988. Assim, o escopo de sua decisão é suprir essas lacunas e omissões, “fixando as condições de participação dos povos indígenas em atividades atingindo suas terras, de modo a que eles deixem de ser apenas vítimas e passem à condição de beneficiários”</w:t>
      </w:r>
      <w:r w:rsidR="000D5750" w:rsidRPr="007B0B53">
        <w:t>.</w:t>
      </w:r>
      <w:r w:rsidR="00543A14" w:rsidRPr="007B0B53">
        <w:t xml:space="preserve"> </w:t>
      </w:r>
      <w:r w:rsidR="00543A14" w:rsidRPr="007B0B53">
        <w:rPr>
          <w:rStyle w:val="Forte"/>
          <w:b w:val="0"/>
          <w:bCs w:val="0"/>
        </w:rPr>
        <w:t>Belo Monte -</w:t>
      </w:r>
      <w:r w:rsidR="00543A14" w:rsidRPr="007B0B53">
        <w:t xml:space="preserve"> No caso de Belo Monte, até que a matéria seja regulamentada, Dino determinou que 100% do valor repassado à União a título de Compensação Financeira pela Utilização dos Recursos Hídricos (CFURH) deve ser repassado aos indígenas. Ainda de acordo com a decisão, as condições específicas para aproveitamento dos recursos hídricos em outras terras indígenas e a forma de pagamento da participação nos resultados da atividade devem seguir a mesma lógica. </w:t>
      </w:r>
      <w:r w:rsidR="00543A14" w:rsidRPr="007B0B53">
        <w:rPr>
          <w:rStyle w:val="Forte"/>
          <w:b w:val="0"/>
          <w:bCs w:val="0"/>
        </w:rPr>
        <w:t>Lavra -</w:t>
      </w:r>
      <w:r w:rsidR="00543A14" w:rsidRPr="007B0B53">
        <w:t xml:space="preserve"> Por fim, Dino explicou que a decisão não alcança a lavra legal de minerais. Contudo, o ministro destacou que a falta de regulamentação desse ponto favorece o garimpo ilegal, o “</w:t>
      </w:r>
      <w:proofErr w:type="spellStart"/>
      <w:r w:rsidR="00543A14" w:rsidRPr="007B0B53">
        <w:t>narcogarimpo</w:t>
      </w:r>
      <w:proofErr w:type="spellEnd"/>
      <w:r w:rsidR="00543A14" w:rsidRPr="007B0B53">
        <w:t>” e a crescente atuação de organizações criminosas, sobretudo na Amazônia. “Tais organizações criminosas, vinculadas ou não a poderes locais, operam o financiamento, a logística e a lavagem de dinheiro no garimpo ilegal, pressionando os territórios indígenas permanentemente”, enfatizou.</w:t>
      </w:r>
    </w:p>
    <w:p w:rsidR="007F0A17" w:rsidRPr="007B0B53" w:rsidRDefault="004D6BC6" w:rsidP="00871462">
      <w:pPr>
        <w:pStyle w:val="NormalWeb"/>
        <w:shd w:val="clear" w:color="auto" w:fill="FFFFFF"/>
        <w:spacing w:before="240" w:beforeAutospacing="0" w:after="0" w:afterAutospacing="0"/>
        <w:jc w:val="both"/>
        <w:textAlignment w:val="baseline"/>
      </w:pPr>
      <w:r w:rsidRPr="007B0B53">
        <w:t xml:space="preserve">STF </w:t>
      </w:r>
      <w:r w:rsidR="007F0A17" w:rsidRPr="007B0B53">
        <w:t xml:space="preserve">(ACO 3696, in Notícias STF 10.03.2025) STF mantém suspensão de regra que permitia a loterias do RJ receber apostas de fora do estado - </w:t>
      </w:r>
      <w:r w:rsidR="007F0A17" w:rsidRPr="007B0B53">
        <w:rPr>
          <w:spacing w:val="-5"/>
        </w:rPr>
        <w:t>Por unanimidade, Plenário confirmou liminar do ministro André Mendonça –</w:t>
      </w:r>
      <w:r w:rsidR="00871462" w:rsidRPr="007B0B53">
        <w:rPr>
          <w:spacing w:val="-5"/>
        </w:rPr>
        <w:t xml:space="preserve"> </w:t>
      </w:r>
      <w:r w:rsidR="007F0A17" w:rsidRPr="007B0B53">
        <w:t>Por unanimidade, o Supremo Tribunal Federal (STF) confirmou decisão cautelar na Ação Cível Originária </w:t>
      </w:r>
      <w:r w:rsidR="007F0A17" w:rsidRPr="007B0B53">
        <w:rPr>
          <w:rStyle w:val="Forte"/>
          <w:rFonts w:eastAsiaTheme="majorEastAsia"/>
          <w:b w:val="0"/>
        </w:rPr>
        <w:t>(ACO) 3696</w:t>
      </w:r>
      <w:r w:rsidR="007F0A17" w:rsidRPr="007B0B53">
        <w:t> em que ministro André Mendonça determinou à Loteria do Estado do Rio de Janeiro (</w:t>
      </w:r>
      <w:proofErr w:type="spellStart"/>
      <w:r w:rsidR="007F0A17" w:rsidRPr="007B0B53">
        <w:t>Loterj</w:t>
      </w:r>
      <w:proofErr w:type="spellEnd"/>
      <w:r w:rsidR="007F0A17" w:rsidRPr="007B0B53">
        <w:t>) e ao Estado do Rio de Janeiro que parassem de receber apostas esportivas de quota fixa (</w:t>
      </w:r>
      <w:proofErr w:type="spellStart"/>
      <w:r w:rsidR="007F0A17" w:rsidRPr="007B0B53">
        <w:t>bets</w:t>
      </w:r>
      <w:proofErr w:type="spellEnd"/>
      <w:r w:rsidR="007F0A17" w:rsidRPr="007B0B53">
        <w:t>) feitas fora de seu território. O julgamento foi realizado na sessão virtual encerrada em 28/02.</w:t>
      </w:r>
      <w:r w:rsidR="00871462" w:rsidRPr="007B0B53">
        <w:rPr>
          <w:spacing w:val="-5"/>
        </w:rPr>
        <w:t xml:space="preserve"> </w:t>
      </w:r>
      <w:r w:rsidR="007F0A17" w:rsidRPr="007B0B53">
        <w:t xml:space="preserve">Originalmente, o Edital de Credenciamento 1/2023 seguia a norma federal e exigia que as empresas interessadas em explorar as </w:t>
      </w:r>
      <w:proofErr w:type="spellStart"/>
      <w:r w:rsidR="007F0A17" w:rsidRPr="007B0B53">
        <w:t>bets</w:t>
      </w:r>
      <w:proofErr w:type="spellEnd"/>
      <w:r w:rsidR="007F0A17" w:rsidRPr="007B0B53">
        <w:t xml:space="preserve"> no estado tivessem sistema de </w:t>
      </w:r>
      <w:proofErr w:type="spellStart"/>
      <w:r w:rsidR="007F0A17" w:rsidRPr="007B0B53">
        <w:t>geolocalização</w:t>
      </w:r>
      <w:proofErr w:type="spellEnd"/>
      <w:r w:rsidR="007F0A17" w:rsidRPr="007B0B53">
        <w:t xml:space="preserve"> para garantir que apostas em tempo real fossem feitas somente no Rio de Janeiro, além de processos que bloqueassem o acesso fora dos seus limites territoriais. Contudo, três meses depois da divulgação, o edital foi alterado, passando a exigir apenas uma declaração do apostador de que as apostas seriam feitas dentro do estado.</w:t>
      </w:r>
      <w:r w:rsidR="00871462" w:rsidRPr="007B0B53">
        <w:rPr>
          <w:spacing w:val="-5"/>
        </w:rPr>
        <w:t xml:space="preserve"> </w:t>
      </w:r>
      <w:r w:rsidR="007F0A17" w:rsidRPr="007B0B53">
        <w:t xml:space="preserve">No voto, Mendonça afirmou que os estados têm competência para explorar as atividades lotéricas e para regulamentar essa exploração exclusivamente em seus territórios, e apenas a União pode explorar esse serviço em formato que extrapole os limites estaduais. A seu ver, o edital da </w:t>
      </w:r>
      <w:proofErr w:type="spellStart"/>
      <w:r w:rsidR="007F0A17" w:rsidRPr="007B0B53">
        <w:t>Loterj</w:t>
      </w:r>
      <w:proofErr w:type="spellEnd"/>
      <w:r w:rsidR="007F0A17" w:rsidRPr="007B0B53">
        <w:t xml:space="preserve"> criou uma espécie de “ficção sobre os limites territoriais alargados do Rio de Janeiro”.</w:t>
      </w:r>
    </w:p>
    <w:p w:rsidR="00632137" w:rsidRPr="007B0B53" w:rsidRDefault="00632137" w:rsidP="00632137">
      <w:pPr>
        <w:pStyle w:val="NormalWeb"/>
        <w:shd w:val="clear" w:color="auto" w:fill="FFFFFF"/>
        <w:spacing w:before="240" w:beforeAutospacing="0" w:after="0" w:afterAutospacing="0"/>
        <w:jc w:val="both"/>
        <w:textAlignment w:val="baseline"/>
        <w:rPr>
          <w:spacing w:val="-5"/>
        </w:rPr>
      </w:pPr>
      <w:r w:rsidRPr="007B0B53">
        <w:t xml:space="preserve">STF (ADPF 1196, in Notícias STF 07.03.2025) STF determina que Município de São Paulo amplie divulgação de gratuidade em serviços funerários - </w:t>
      </w:r>
      <w:r w:rsidRPr="007B0B53">
        <w:rPr>
          <w:spacing w:val="-5"/>
        </w:rPr>
        <w:t xml:space="preserve">Ministro Flávio Dino também ordenou reforçar a fiscalização das concessionárias, com reajuste de multas para práticas irregulares – </w:t>
      </w:r>
      <w:r w:rsidRPr="007B0B53">
        <w:t>O ministro Flávio Dino, do Supremo Tribunal Federal (STF), determinou que o Município de São Paulo (SP) amplie o acesso da população aos preços dos serviços funerários e aos critérios para pedir a gratuidade. As informações deverão ser publicadas no site da prefeitura e fixadas em local visível na entrada de todos os cemitérios da cidade.</w:t>
      </w:r>
      <w:r w:rsidRPr="007B0B53">
        <w:rPr>
          <w:spacing w:val="-5"/>
        </w:rPr>
        <w:t xml:space="preserve"> </w:t>
      </w:r>
      <w:r w:rsidRPr="007B0B53">
        <w:t>Dino determinou que, nos pontos de atendimento das empresas que operam o setor, sejam divulgadas cartilhas padronizadas com informações claras sobre os serviços, pacotes e direitos dos usuários. Também foi determinado o reforço da fiscalização pública das concessionárias, com reajuste de multas em caso de infrações ou práticas irregulares.</w:t>
      </w:r>
      <w:r w:rsidRPr="007B0B53">
        <w:rPr>
          <w:spacing w:val="-5"/>
        </w:rPr>
        <w:t xml:space="preserve"> </w:t>
      </w:r>
      <w:r w:rsidRPr="007B0B53">
        <w:t>A decisão do ministro foi dada na Arguição de Descumprimento de Preceito Fundamental</w:t>
      </w:r>
      <w:r w:rsidRPr="007B0B53">
        <w:rPr>
          <w:rStyle w:val="Forte"/>
          <w:rFonts w:eastAsiaTheme="majorEastAsia"/>
        </w:rPr>
        <w:t> </w:t>
      </w:r>
      <w:r w:rsidRPr="007B0B53">
        <w:rPr>
          <w:rStyle w:val="Forte"/>
          <w:rFonts w:eastAsiaTheme="majorEastAsia"/>
          <w:b w:val="0"/>
        </w:rPr>
        <w:t>(ADPF) 1196</w:t>
      </w:r>
      <w:r w:rsidRPr="007B0B53">
        <w:rPr>
          <w:b/>
        </w:rPr>
        <w:t> </w:t>
      </w:r>
      <w:r w:rsidRPr="007B0B53">
        <w:t>e vai ser analisada pelo Plenário em sessão virtual entre 21 e 28 de março. As disposições complementam uma determinação anterior, de novembro, para a aplicação de um teto para serviços funerários tendo como referência os valores praticados antes da privatização do setor, atualizados pela inflação.</w:t>
      </w:r>
      <w:r w:rsidRPr="007B0B53">
        <w:rPr>
          <w:spacing w:val="-5"/>
        </w:rPr>
        <w:t xml:space="preserve"> </w:t>
      </w:r>
      <w:r w:rsidRPr="007B0B53">
        <w:t>Na nova decisão, o ministro reconheceu que os serviços funerários e de cemitérios e cremação paulistanos estão em “parcial desconformidade” com os preceitos fundamentais da Constituição. Ele se baseou em nota técnica do Núcleo de Processos Estruturais Complexos (</w:t>
      </w:r>
      <w:proofErr w:type="spellStart"/>
      <w:r w:rsidRPr="007B0B53">
        <w:t>Nupec</w:t>
      </w:r>
      <w:proofErr w:type="spellEnd"/>
      <w:r w:rsidRPr="007B0B53">
        <w:t xml:space="preserve">) do STF. Segundo o ministro, esses serviços são essenciais e devem ser acessíveis a todos. A decisão ainda determina a divulgação de um canal de denúncias 24 horas para a população comunicar irregularidades. </w:t>
      </w:r>
      <w:r w:rsidRPr="007B0B53">
        <w:rPr>
          <w:rStyle w:val="Forte"/>
          <w:b w:val="0"/>
          <w:bCs w:val="0"/>
        </w:rPr>
        <w:t>Entenda -</w:t>
      </w:r>
      <w:r w:rsidRPr="007B0B53">
        <w:rPr>
          <w:spacing w:val="-5"/>
        </w:rPr>
        <w:t xml:space="preserve"> </w:t>
      </w:r>
      <w:r w:rsidRPr="007B0B53">
        <w:t>Na ação, o Partido Comunista do Brasil (PCdoB), questiona duas leis municipais que concederam à iniciativa privada a exploração de cemitérios e crematórios públicos e serviços funerários.</w:t>
      </w:r>
      <w:r w:rsidRPr="007B0B53">
        <w:rPr>
          <w:spacing w:val="-5"/>
        </w:rPr>
        <w:t xml:space="preserve"> </w:t>
      </w:r>
      <w:r w:rsidRPr="007B0B53">
        <w:t xml:space="preserve">Em 24 de novembro de 2024, Dino determinou que o município estabelecesse os valores praticados imediatamente antes da privatização, atualizados pelo IPCA (Índice Nacional de Preços ao Consumidor Amplo). Em dezembro, foi feita uma audiência de conciliação para discutir o assunto e, no mês seguinte, o ministro solicitou ao </w:t>
      </w:r>
      <w:proofErr w:type="spellStart"/>
      <w:r w:rsidRPr="007B0B53">
        <w:t>Nupec</w:t>
      </w:r>
      <w:proofErr w:type="spellEnd"/>
      <w:r w:rsidRPr="007B0B53">
        <w:t xml:space="preserve"> uma nota técnica para analisar a variação dos preços antes e depois da privatização dos serviços.</w:t>
      </w:r>
    </w:p>
    <w:p w:rsidR="00EF0477" w:rsidRPr="007B0B53" w:rsidRDefault="007F0A17" w:rsidP="00EF0477">
      <w:pPr>
        <w:pStyle w:val="NormalWeb"/>
        <w:shd w:val="clear" w:color="auto" w:fill="FFFFFF"/>
        <w:spacing w:before="240" w:beforeAutospacing="0" w:after="0" w:afterAutospacing="0"/>
        <w:jc w:val="both"/>
        <w:textAlignment w:val="baseline"/>
      </w:pPr>
      <w:r w:rsidRPr="007B0B53">
        <w:lastRenderedPageBreak/>
        <w:t xml:space="preserve">STF </w:t>
      </w:r>
      <w:r w:rsidR="00B4699B" w:rsidRPr="007B0B53">
        <w:t>(</w:t>
      </w:r>
      <w:r w:rsidR="00EF0477" w:rsidRPr="007B0B53">
        <w:t>ADPF 635, in Notícias STF 06.03.2025</w:t>
      </w:r>
      <w:r w:rsidR="00B4699B" w:rsidRPr="007B0B53">
        <w:t>)</w:t>
      </w:r>
      <w:r w:rsidR="00EF0477" w:rsidRPr="007B0B53">
        <w:t xml:space="preserve"> Relator ouve sugestões de partes e entidades na ADPF sobre letalidade policial no RJ - </w:t>
      </w:r>
      <w:r w:rsidR="00EF0477" w:rsidRPr="007B0B53">
        <w:rPr>
          <w:spacing w:val="-5"/>
        </w:rPr>
        <w:t xml:space="preserve">Ministro Edson </w:t>
      </w:r>
      <w:proofErr w:type="spellStart"/>
      <w:r w:rsidR="00EF0477" w:rsidRPr="007B0B53">
        <w:rPr>
          <w:spacing w:val="-5"/>
        </w:rPr>
        <w:t>Fachin</w:t>
      </w:r>
      <w:proofErr w:type="spellEnd"/>
      <w:r w:rsidR="00EF0477" w:rsidRPr="007B0B53">
        <w:rPr>
          <w:spacing w:val="-5"/>
        </w:rPr>
        <w:t xml:space="preserve"> recebeu advogados, pesquisadores e representantes do estado. Retomada do caso está pautada para 26/3 – </w:t>
      </w:r>
      <w:r w:rsidR="00EF0477" w:rsidRPr="007B0B53">
        <w:t xml:space="preserve">O vice-presidente do Supremo Tribunal Federal (STF), ministro Edson </w:t>
      </w:r>
      <w:proofErr w:type="spellStart"/>
      <w:r w:rsidR="00EF0477" w:rsidRPr="007B0B53">
        <w:t>Fachin</w:t>
      </w:r>
      <w:proofErr w:type="spellEnd"/>
      <w:r w:rsidR="00EF0477" w:rsidRPr="007B0B53">
        <w:t>, recebeu nesta quinta-feira (6) representantes das partes e de entidades que atuam na Arguição de Descumprimento de Preceito Fundamental </w:t>
      </w:r>
      <w:r w:rsidR="00EF0477" w:rsidRPr="007B0B53">
        <w:rPr>
          <w:rStyle w:val="Forte"/>
          <w:rFonts w:eastAsiaTheme="majorEastAsia"/>
          <w:b w:val="0"/>
        </w:rPr>
        <w:t>(ADPF) 635</w:t>
      </w:r>
      <w:r w:rsidR="00EF0477" w:rsidRPr="007B0B53">
        <w:t xml:space="preserve">, de sua relatoria, que trata da letalidade policial no Estado do Rio de Janeiro. As audiências serviram para ouvir sugestões e apontamentos sobre o voto do ministro, apresentado no começo de fevereiro. Após a manifestação do relator, o caso passou por uma série de diálogos entre os ministros e órgãos do poder público, com objetivo de chegar a uma proposta consensual. A retomada do julgamento da ADPF 635 está marcada para 26 de março. Advogados, pesquisadores, militantes de direitos humanos e representantes do estado fizeram diversos comentários sobre o voto do relator. Entre outros pontos, foram levantados temas como os critérios para os indicadores de letalidade policial, o sistema de câmeras corporais nas fardas das polícias, o monitoramento e a fiscalização das decisões do Supremo, o papel do Ministério Público e a efetividade das perícias. </w:t>
      </w:r>
      <w:proofErr w:type="spellStart"/>
      <w:r w:rsidR="00EF0477" w:rsidRPr="007B0B53">
        <w:t>Fachin</w:t>
      </w:r>
      <w:proofErr w:type="spellEnd"/>
      <w:r w:rsidR="00EF0477" w:rsidRPr="007B0B53">
        <w:t xml:space="preserve"> esclareceu que o caso é um “processo estrutural”, que não se encerra com uma decisão judicial e que demanda uma construção baseada no diálogo. “Nos processos estruturais, a decisão se constrói. Depois do meu voto, já iniciamos um conjunto de diálogos e estamos mapeando consensos e dissensos”, afirmou. Para </w:t>
      </w:r>
      <w:proofErr w:type="spellStart"/>
      <w:r w:rsidR="00EF0477" w:rsidRPr="007B0B53">
        <w:t>Fachin</w:t>
      </w:r>
      <w:proofErr w:type="spellEnd"/>
      <w:r w:rsidR="00EF0477" w:rsidRPr="007B0B53">
        <w:t xml:space="preserve">, um dos primeiros objetivos na tramitação da ADPF das Favelas foi o de dar dignidade a todos os argumentos. “Não é usual fazer audiência depois de um voto, mas esse processo complexo demanda isso”. </w:t>
      </w:r>
      <w:r w:rsidR="00EF0477" w:rsidRPr="007B0B53">
        <w:rPr>
          <w:rStyle w:val="Forte"/>
          <w:b w:val="0"/>
          <w:bCs w:val="0"/>
        </w:rPr>
        <w:t xml:space="preserve">Redução da letalidade - </w:t>
      </w:r>
      <w:r w:rsidR="00EF0477" w:rsidRPr="007B0B53">
        <w:t>Em uma das reuniões, representantes da Procuradoria-Geral do Estado do Rio de Janeiro apresentaram informações apontando que houve redução da letalidade policial a partir das decisões do STF na ação. Um dos pedidos é para que não seja reconhecido um quadro de violação massiva de direitos na segurança pública estadual, o chamado de “estado de coisas inconstitucional”. O procurador Carlos da Costa e Silva Filho defendeu a adoção de medidas que garantam isonomia com outros estados, principalmente no que diz respeito a indicadores sobre violência. Também foram feitos pedidos para adequação de prazos e procedimentos para instalação de câmeras corporais em agentes da Polícia Civil.</w:t>
      </w:r>
      <w:r w:rsidR="00EF0477" w:rsidRPr="007B0B53">
        <w:rPr>
          <w:rStyle w:val="Forte"/>
          <w:b w:val="0"/>
          <w:bCs w:val="0"/>
        </w:rPr>
        <w:t xml:space="preserve"> Ganhos históricos - </w:t>
      </w:r>
      <w:r w:rsidR="00EF0477" w:rsidRPr="007B0B53">
        <w:t xml:space="preserve">Pelo Partido Socialista Brasileiro (PSB), autor da ação, o advogado João Gabriel Madeira Pontes ressaltou a importância do voto do relator. Ele fez sugestões para aprimorar as regras de uso das câmeras, com regras para instalação em viaturas e </w:t>
      </w:r>
      <w:proofErr w:type="spellStart"/>
      <w:r w:rsidR="00EF0477" w:rsidRPr="007B0B53">
        <w:t>georreferenciamento</w:t>
      </w:r>
      <w:proofErr w:type="spellEnd"/>
      <w:r w:rsidR="00EF0477" w:rsidRPr="007B0B53">
        <w:t xml:space="preserve">. Representantes do Complexos </w:t>
      </w:r>
      <w:proofErr w:type="spellStart"/>
      <w:r w:rsidR="00EF0477" w:rsidRPr="007B0B53">
        <w:t>Advocacy</w:t>
      </w:r>
      <w:proofErr w:type="spellEnd"/>
      <w:r w:rsidR="00EF0477" w:rsidRPr="007B0B53">
        <w:t xml:space="preserve">, articulação de ONGs de favelas, disseram que a ADPF trouxe ganhos históricos para o debate sobre segurança pública. Eles manifestaram, porém, preocupações com o formato proposto no voto do relator para a estruturação do comitê de acompanhamento da decisão da ADPF. Para o grupo, é preciso detalhar a composição do órgão, para que, por exemplo, a cadeira destinada à sociedade civil seja ocupada por entidade que defenda as medidas tomadas na ação. “Nos parece preocupante não ter qual vai ser a diretriz ou o posicionamento dessa organização da sociedade civil que vai estar no comitê. Se essa cadeira não refletir a sociedade civil que pede a ação, vai ser uma perda de oportunidade”, afirmou o advogado Joel Luiz. </w:t>
      </w:r>
      <w:r w:rsidR="00EF0477" w:rsidRPr="007B0B53">
        <w:rPr>
          <w:rStyle w:val="Forte"/>
          <w:b w:val="0"/>
          <w:bCs w:val="0"/>
        </w:rPr>
        <w:t xml:space="preserve">“A bala continua matando” - </w:t>
      </w:r>
      <w:r w:rsidR="00EF0477" w:rsidRPr="007B0B53">
        <w:t xml:space="preserve">Bruna da Silva, moradora do Complexo da Maré, no Rio de Janeiro, e mãe de Marcus Vinícius, morto aos 14 anos durante operação policial em 2018, fez uma dura fala sobre o assassinato do filho. Ela também disse que a situação de violência se mantém. “A bala que matou meu filho continua matando”, afirmou. “Hoje crio minha família com medo. Quando tem operação, tenho que me esconder dentro de casa”. Ela participou da audiência junto com representantes da Conectas Direitos Humanos. O jovem </w:t>
      </w:r>
      <w:proofErr w:type="spellStart"/>
      <w:r w:rsidR="00EF0477" w:rsidRPr="007B0B53">
        <w:t>Luis</w:t>
      </w:r>
      <w:proofErr w:type="spellEnd"/>
      <w:r w:rsidR="00EF0477" w:rsidRPr="007B0B53">
        <w:t xml:space="preserve"> Fernando, de 16 anos, contou como a violência impacta o seu dia a dia. Ele disse que as operações “impedem nossa infância e traumatizam nossa vida” e entregou uma carta escrita à mão relatando a situação, sugerindo que o relator a entregasse aos demais ministros. “Tem bastante sentimento nas cartas, pessoas importantíssimas que a gente perdeu”. A assistente social Liliane Pereira dos Santos, nascida e criada na Maré, disse que teve a infância e a adolescência “marcada pela violência extrema”. Na sua avaliação, a ADPF 635 trouxe um grande impacto para a vida de quem vive nas comunidades do Rio de Janeiro. </w:t>
      </w:r>
      <w:r w:rsidR="00EF0477" w:rsidRPr="007B0B53">
        <w:rPr>
          <w:rStyle w:val="Forte"/>
          <w:b w:val="0"/>
          <w:bCs w:val="0"/>
        </w:rPr>
        <w:t xml:space="preserve">Intensidade das operações - </w:t>
      </w:r>
      <w:r w:rsidR="00EF0477" w:rsidRPr="007B0B53">
        <w:t xml:space="preserve">A advogada e pesquisadora </w:t>
      </w:r>
      <w:proofErr w:type="spellStart"/>
      <w:r w:rsidR="00EF0477" w:rsidRPr="007B0B53">
        <w:t>Rhaysa</w:t>
      </w:r>
      <w:proofErr w:type="spellEnd"/>
      <w:r w:rsidR="00EF0477" w:rsidRPr="007B0B53">
        <w:t xml:space="preserve"> Ruas disse ao ministro que há relatos de que as operações policiais ficaram mais intensas no Rio de Janeiro com a proximidade do julgamento da ADPF em Plenário, no começo de fevereiro. Ela fez ponderações sobre como as determinações da ADPF serão implementadas e acompanhadas. Entre os pontos de atenção, destacou a necessidade de uma obrigação para preservar vestígios de crimes e de procedimentos de perícia independentes da estrutura da polícia. Quanto a esse último ponto, </w:t>
      </w:r>
      <w:proofErr w:type="spellStart"/>
      <w:r w:rsidR="00EF0477" w:rsidRPr="007B0B53">
        <w:t>Fransérgio</w:t>
      </w:r>
      <w:proofErr w:type="spellEnd"/>
      <w:r w:rsidR="00EF0477" w:rsidRPr="007B0B53">
        <w:t xml:space="preserve"> Goulart, diretor executivo </w:t>
      </w:r>
      <w:r w:rsidR="00EF0477" w:rsidRPr="007B0B53">
        <w:lastRenderedPageBreak/>
        <w:t>da Iniciativa Direito à Memória e Justiça Racial, lembrou que é importante analisar as experiências de institutos de perícia que estão fora das polícias civis, como em São Paulo.</w:t>
      </w:r>
    </w:p>
    <w:p w:rsidR="00937D7D" w:rsidRPr="007B0B53" w:rsidRDefault="00B4699B" w:rsidP="00937D7D">
      <w:pPr>
        <w:pStyle w:val="NormalWeb"/>
        <w:shd w:val="clear" w:color="auto" w:fill="FFFFFF"/>
        <w:spacing w:before="240" w:beforeAutospacing="0" w:after="0" w:afterAutospacing="0"/>
        <w:jc w:val="both"/>
        <w:textAlignment w:val="baseline"/>
      </w:pPr>
      <w:r w:rsidRPr="007B0B53">
        <w:t xml:space="preserve">STF </w:t>
      </w:r>
      <w:r w:rsidR="00937D7D" w:rsidRPr="007B0B53">
        <w:t xml:space="preserve">(RE 889095, in </w:t>
      </w:r>
      <w:proofErr w:type="spellStart"/>
      <w:r w:rsidR="00937D7D" w:rsidRPr="007B0B53">
        <w:t>Conjur</w:t>
      </w:r>
      <w:proofErr w:type="spellEnd"/>
      <w:r w:rsidR="00937D7D" w:rsidRPr="007B0B53">
        <w:t xml:space="preserve"> 27.02.2025) Instalação livre – STF proíbe cobrança por instalação de rede elétrica em rodovias – O Supremo Tribunal Federal, em julgamento concluído na última sexta-feira (21/2), consolidou a tese de que é inconstitucional a cobrança pelo uso das faixas de domínio público, às margens de rodovias, para instalação de infraestruturas elétricas. A questão foi analisada no RE 889.095. Em seu voto, o ministro relator André Mendonça destaca que a evolução jurisprudencial da temática partiu do julgamento do Tema 261 do rol da Repercussão Geral (</w:t>
      </w:r>
      <w:r w:rsidR="00937D7D" w:rsidRPr="007B0B53">
        <w:rPr>
          <w:bCs/>
        </w:rPr>
        <w:t>RE 581.947</w:t>
      </w:r>
      <w:r w:rsidR="00937D7D" w:rsidRPr="007B0B53">
        <w:t>), em que o STF declarou a inconstitucionalidade da cobrança de taxa pelos municípios em razão do uso de espaços públicos por concessionárias prestadoras do serviço público de fornecimento de energia elétrica. A tese, conforme o voto do ministro relator, é uma consolidação da jurisprudência. Segundo </w:t>
      </w:r>
      <w:r w:rsidR="00937D7D" w:rsidRPr="007B0B53">
        <w:rPr>
          <w:rStyle w:val="Forte"/>
        </w:rPr>
        <w:t>***,</w:t>
      </w:r>
      <w:r w:rsidR="00937D7D" w:rsidRPr="007B0B53">
        <w:t xml:space="preserve"> advogado da Associação Brasileira de Distribuidores de Energia Elétrica (</w:t>
      </w:r>
      <w:proofErr w:type="spellStart"/>
      <w:r w:rsidR="00937D7D" w:rsidRPr="007B0B53">
        <w:t>Abradee</w:t>
      </w:r>
      <w:proofErr w:type="spellEnd"/>
      <w:r w:rsidR="00937D7D" w:rsidRPr="007B0B53">
        <w:t>), que atuou no caso como </w:t>
      </w:r>
      <w:proofErr w:type="spellStart"/>
      <w:r w:rsidR="00937D7D" w:rsidRPr="007B0B53">
        <w:rPr>
          <w:rStyle w:val="nfase"/>
        </w:rPr>
        <w:t>amicus</w:t>
      </w:r>
      <w:proofErr w:type="spellEnd"/>
      <w:r w:rsidR="00937D7D" w:rsidRPr="007B0B53">
        <w:rPr>
          <w:rStyle w:val="nfase"/>
        </w:rPr>
        <w:t xml:space="preserve"> </w:t>
      </w:r>
      <w:proofErr w:type="spellStart"/>
      <w:r w:rsidR="00937D7D" w:rsidRPr="007B0B53">
        <w:rPr>
          <w:rStyle w:val="nfase"/>
        </w:rPr>
        <w:t>curiae</w:t>
      </w:r>
      <w:proofErr w:type="spellEnd"/>
      <w:r w:rsidR="00937D7D" w:rsidRPr="007B0B53">
        <w:t>, a decisão é importante.</w:t>
      </w:r>
      <w:r w:rsidR="00937D7D" w:rsidRPr="007B0B53">
        <w:rPr>
          <w:rStyle w:val="nfase"/>
        </w:rPr>
        <w:t> “</w:t>
      </w:r>
      <w:r w:rsidR="00937D7D" w:rsidRPr="007B0B53">
        <w:t>Ela marca um passo significativo na resolução de uma discussão que já dura mais de 20 anos. Ao reafirmar a inconstitucionalidade da cobrança por parte das concessionárias de rodovias pelo uso da faixa de domínio pelas distribuidoras de energia, conseguimos alcançar uma vitória para o consumidor de energia elétrica do país, favorecendo a desoneração tarifária.” O escritório *** também patrocinou o </w:t>
      </w:r>
      <w:proofErr w:type="spellStart"/>
      <w:r w:rsidR="00937D7D" w:rsidRPr="007B0B53">
        <w:rPr>
          <w:rStyle w:val="nfase"/>
        </w:rPr>
        <w:t>leading</w:t>
      </w:r>
      <w:proofErr w:type="spellEnd"/>
      <w:r w:rsidR="00937D7D" w:rsidRPr="007B0B53">
        <w:rPr>
          <w:rStyle w:val="nfase"/>
        </w:rPr>
        <w:t xml:space="preserve"> case</w:t>
      </w:r>
      <w:r w:rsidR="00937D7D" w:rsidRPr="007B0B53">
        <w:t xml:space="preserve"> (Tema 261) em favor da então </w:t>
      </w:r>
      <w:proofErr w:type="spellStart"/>
      <w:r w:rsidR="00937D7D" w:rsidRPr="007B0B53">
        <w:t>Eletrobras</w:t>
      </w:r>
      <w:proofErr w:type="spellEnd"/>
      <w:r w:rsidR="00937D7D" w:rsidRPr="007B0B53">
        <w:t xml:space="preserve"> Rondônia.</w:t>
      </w:r>
    </w:p>
    <w:p w:rsidR="002E162D" w:rsidRPr="007B0B53" w:rsidRDefault="00937D7D" w:rsidP="002E162D">
      <w:pPr>
        <w:pStyle w:val="NormalWeb"/>
        <w:shd w:val="clear" w:color="auto" w:fill="FFFFFF"/>
        <w:spacing w:before="240" w:beforeAutospacing="0" w:after="0" w:afterAutospacing="0"/>
        <w:jc w:val="both"/>
        <w:textAlignment w:val="baseline"/>
      </w:pPr>
      <w:r w:rsidRPr="007B0B53">
        <w:t xml:space="preserve">STF (RE 1520841, in </w:t>
      </w:r>
      <w:proofErr w:type="spellStart"/>
      <w:r w:rsidRPr="007B0B53">
        <w:t>Conjur</w:t>
      </w:r>
      <w:proofErr w:type="spellEnd"/>
      <w:r w:rsidR="002E162D" w:rsidRPr="007B0B53">
        <w:t xml:space="preserve"> 27.02.2025) Normas importadas – Convenções internacionais prevalecem no transporte aéreo de cargas e mercadorias, reafirma STF – O Plenário do Supremo Tribunal Federal reafirmou que acordos internacionais, como as Convenções de Varsóvia e de Montreal, se sobrepõem às normas nacionais em casos de extravio, dano ou atraso de cargas em voos internacionais. A decisão, unânime, foi tomada no julgamento de um recurso extraordinário. A decisão amplia para o transporte de cargas o entendimento que o STF já tinha sobre o transporte de passageiros e extravios de bagagens, com a aplicação do rito de repercussão geral (Tema 1.366). Isso significa que a tese fixada pelo tribunal deverá ser seguida em todos os casos semelhantes que estão em tramitação na Justiça. As Convenções de Varsóvia e de Montreal estabelecem limites específicos para a compensação a ser paga pelas companhias aéreas em casos de descumprimento contratual por faltas ou avarias de carga durante o transporte. A prevalência desses acordos sobre o </w:t>
      </w:r>
      <w:r w:rsidR="002E162D" w:rsidRPr="007B0B53">
        <w:rPr>
          <w:bCs/>
        </w:rPr>
        <w:t>Código Civil</w:t>
      </w:r>
      <w:r w:rsidR="002E162D" w:rsidRPr="007B0B53">
        <w:t> e o </w:t>
      </w:r>
      <w:r w:rsidR="002E162D" w:rsidRPr="007B0B53">
        <w:rPr>
          <w:bCs/>
        </w:rPr>
        <w:t>Código de Defesa do Consumidor</w:t>
      </w:r>
      <w:r w:rsidR="002E162D" w:rsidRPr="007B0B53">
        <w:t xml:space="preserve"> foi reconhecida pelo Supremo com base no artigo 178 da Constituição. Na prática, as companhias aéreas internacionais só precisarão indenizar os prejuízos dentro dos limites estabelecidos por essas convenções internacionais. </w:t>
      </w:r>
      <w:r w:rsidR="002E162D" w:rsidRPr="007B0B53">
        <w:rPr>
          <w:rStyle w:val="Forte"/>
          <w:b w:val="0"/>
          <w:bCs w:val="0"/>
        </w:rPr>
        <w:t>Caso concreto -</w:t>
      </w:r>
      <w:r w:rsidR="002E162D" w:rsidRPr="007B0B53">
        <w:t xml:space="preserve"> O recurso envolve uma ação em que uma seguradora brasileira pediu que uma companhia aérea holandesa pagasse R$ 13,6 mil de ressarcimento pelo extravio de uma carga transportada sob contrato com a Fundação para o Desenvolvimento Científico em Saúde (</w:t>
      </w:r>
      <w:proofErr w:type="spellStart"/>
      <w:r w:rsidR="002E162D" w:rsidRPr="007B0B53">
        <w:t>Fiotec</w:t>
      </w:r>
      <w:proofErr w:type="spellEnd"/>
      <w:r w:rsidR="002E162D" w:rsidRPr="007B0B53">
        <w:t xml:space="preserve">). O cálculo do ressarcimento foi feito com base no valor declarado pela </w:t>
      </w:r>
      <w:proofErr w:type="spellStart"/>
      <w:r w:rsidR="002E162D" w:rsidRPr="007B0B53">
        <w:t>Fiotec</w:t>
      </w:r>
      <w:proofErr w:type="spellEnd"/>
      <w:r w:rsidR="002E162D" w:rsidRPr="007B0B53">
        <w:t xml:space="preserve">. Como a carga foi extraviada pela empresa aérea, a seguradora cobriu o prejuízo e buscou o ressarcimento com base nas regras do Código Civil, que garantem o ressarcimento integral do dano. Porém, por se tratar de transporte internacional, o STF decidiu que as convenções internacionais de Varsóvia e Montreal deveriam prevalecer também em ações que tratam de indenização e ressarcimento sobre cargas e mercadorias. Em seu voto, o ministro Luís Roberto Barroso, relator do caso, lembrou que, em 2017, o STF já havia decidido pela prevalência dessas convenções, em um julgamento que também teve repercussão geral (Tema 210), mas limitado às relações com passageiros e bagagens, como o atraso de voo. A Convenção de Montreal estabelece que, em caso de extravio ou danos a cargas ou bagagens, a companhia aérea internacional deve pagar até 17 Direitos Especiais de Saque por quilograma (DES, na sigla em inglês, instrumento monetário internacional que segue parâmetros de cálculo específicos). Com base nesse cálculo, a companhia holandesa foi obrigada a ressarcir a </w:t>
      </w:r>
      <w:proofErr w:type="spellStart"/>
      <w:r w:rsidR="002E162D" w:rsidRPr="007B0B53">
        <w:t>Fiotec</w:t>
      </w:r>
      <w:proofErr w:type="spellEnd"/>
      <w:r w:rsidR="002E162D" w:rsidRPr="007B0B53">
        <w:t xml:space="preserve"> em R$ 164,23. A tese firmada foi a seguinte: </w:t>
      </w:r>
      <w:r w:rsidR="002E162D" w:rsidRPr="007B0B53">
        <w:rPr>
          <w:i/>
          <w:iCs/>
        </w:rPr>
        <w:t>1) A pretensão indenizatória por danos materiais em transporte aéreo internacional de carga e mercadoria está sujeita aos limites previstos em normas e tratados internacionais firmados pelo Brasil, em especial as Convenções de Varsóvia e de Montreal; 2) É infraconstitucional e fática a controvérsia sobre o afastamento da limitação à pretensão indenizatória quando a transportadora tem conhecimento do valor da carga ou age com dolo ou culpa grave.</w:t>
      </w:r>
    </w:p>
    <w:p w:rsidR="00C914C7" w:rsidRPr="007B0B53" w:rsidRDefault="002E162D" w:rsidP="00C914C7">
      <w:pPr>
        <w:pStyle w:val="NormalWeb"/>
        <w:shd w:val="clear" w:color="auto" w:fill="FFFFFF"/>
        <w:spacing w:before="240" w:beforeAutospacing="0" w:after="0" w:afterAutospacing="0"/>
        <w:jc w:val="both"/>
        <w:textAlignment w:val="baseline"/>
      </w:pPr>
      <w:r w:rsidRPr="007B0B53">
        <w:t xml:space="preserve">STF </w:t>
      </w:r>
      <w:r w:rsidR="00C914C7" w:rsidRPr="007B0B53">
        <w:t xml:space="preserve">(ADPF 635, in Notícias STF 26.02.2025) STF discute com Polícia Federal formas de enfrentamento a organizações criminosas que atuam no RJ - </w:t>
      </w:r>
      <w:r w:rsidR="00C914C7" w:rsidRPr="007B0B53">
        <w:rPr>
          <w:spacing w:val="-5"/>
        </w:rPr>
        <w:t xml:space="preserve">Informações vão auxiliar a decisão do Supremo na Arguição </w:t>
      </w:r>
      <w:r w:rsidR="00C914C7" w:rsidRPr="007B0B53">
        <w:rPr>
          <w:spacing w:val="-5"/>
        </w:rPr>
        <w:lastRenderedPageBreak/>
        <w:t xml:space="preserve">de Descumprimento de Preceito Fundamental (ADPF 635) – </w:t>
      </w:r>
      <w:r w:rsidR="00C914C7" w:rsidRPr="007B0B53">
        <w:t xml:space="preserve">Os ministros Luís Roberto Barroso e Edson </w:t>
      </w:r>
      <w:proofErr w:type="spellStart"/>
      <w:r w:rsidR="00C914C7" w:rsidRPr="007B0B53">
        <w:t>Fachin</w:t>
      </w:r>
      <w:proofErr w:type="spellEnd"/>
      <w:r w:rsidR="00C914C7" w:rsidRPr="007B0B53">
        <w:t xml:space="preserve">, presidente e vice-presidente do Supremo Tribunal Federal, se reuniram nesta quarta-feira (26) com a cúpula da Polícia Federal para colher informações sobre a segurança pública no Rio de Janeiro e auxiliar a decisão do Supremo na Arguição de Descumprimento de Preceito Fundamental (ADPF 635). Participaram da reunião Andrei Rodrigues, diretor-geral da Polícia Federal (PF), Willian </w:t>
      </w:r>
      <w:proofErr w:type="spellStart"/>
      <w:r w:rsidR="00C914C7" w:rsidRPr="007B0B53">
        <w:t>Marad</w:t>
      </w:r>
      <w:proofErr w:type="spellEnd"/>
      <w:r w:rsidR="00C914C7" w:rsidRPr="007B0B53">
        <w:t>, diretor executivo da PF, Leandro Almada, diretor de inteligência da PF.</w:t>
      </w:r>
      <w:r w:rsidR="00C914C7" w:rsidRPr="007B0B53">
        <w:rPr>
          <w:spacing w:val="-5"/>
        </w:rPr>
        <w:t xml:space="preserve"> </w:t>
      </w:r>
      <w:r w:rsidR="00C914C7" w:rsidRPr="007B0B53">
        <w:t xml:space="preserve">O ministro </w:t>
      </w:r>
      <w:proofErr w:type="spellStart"/>
      <w:r w:rsidR="00C914C7" w:rsidRPr="007B0B53">
        <w:t>Fachin</w:t>
      </w:r>
      <w:proofErr w:type="spellEnd"/>
      <w:r w:rsidR="00C914C7" w:rsidRPr="007B0B53">
        <w:t xml:space="preserve"> é relator da ação, que inicialmente discutiu as mortes decorrentes de operações policiais em comunidades no estado.</w:t>
      </w:r>
      <w:r w:rsidR="00C914C7" w:rsidRPr="007B0B53">
        <w:rPr>
          <w:spacing w:val="-5"/>
        </w:rPr>
        <w:t xml:space="preserve"> </w:t>
      </w:r>
      <w:r w:rsidR="00C914C7" w:rsidRPr="007B0B53">
        <w:t>Para os ministros do STF, a gravidade da situação exige o cotejo entre as urgentes demandas por mais segurança e a proteção dos direitos constitucionais de todos cidadãos.</w:t>
      </w:r>
    </w:p>
    <w:p w:rsidR="00781AF8" w:rsidRPr="007B0B53" w:rsidRDefault="00C914C7" w:rsidP="00781AF8">
      <w:pPr>
        <w:pStyle w:val="NormalWeb"/>
        <w:shd w:val="clear" w:color="auto" w:fill="FFFFFF"/>
        <w:spacing w:before="240" w:beforeAutospacing="0" w:after="0" w:afterAutospacing="0"/>
        <w:jc w:val="both"/>
        <w:textAlignment w:val="baseline"/>
      </w:pPr>
      <w:r w:rsidRPr="007B0B53">
        <w:t xml:space="preserve">STF </w:t>
      </w:r>
      <w:r w:rsidR="00781AF8" w:rsidRPr="007B0B53">
        <w:t xml:space="preserve">(Rcl-MC 68709, in Notícias STF 26.02.2025) STF conclui conciliação sobre medicamento </w:t>
      </w:r>
      <w:proofErr w:type="spellStart"/>
      <w:r w:rsidR="00781AF8" w:rsidRPr="007B0B53">
        <w:t>Elevidys</w:t>
      </w:r>
      <w:proofErr w:type="spellEnd"/>
      <w:r w:rsidR="00781AF8" w:rsidRPr="007B0B53">
        <w:t xml:space="preserve"> com acordo entre União e farmacêutica - </w:t>
      </w:r>
      <w:r w:rsidR="00781AF8" w:rsidRPr="007B0B53">
        <w:rPr>
          <w:spacing w:val="-5"/>
        </w:rPr>
        <w:t xml:space="preserve">Proposta homologada em dezembro garante economia aproximada de R$ 250 milhões para os cofres públicos e prevê cumprimento de decisões provisória para aquisição do remédio de alto custo - </w:t>
      </w:r>
      <w:r w:rsidR="00781AF8" w:rsidRPr="007B0B53">
        <w:t xml:space="preserve">O Supremo Tribunal Federal (STF) concluiu nesta quarta-feira (26) os trabalhos da conciliação envolvendo o medicamento </w:t>
      </w:r>
      <w:proofErr w:type="spellStart"/>
      <w:r w:rsidR="00781AF8" w:rsidRPr="007B0B53">
        <w:t>Elevidys</w:t>
      </w:r>
      <w:proofErr w:type="spellEnd"/>
      <w:r w:rsidR="00781AF8" w:rsidRPr="007B0B53">
        <w:t xml:space="preserve">, indicado para tratamento da Distrofia Muscular de </w:t>
      </w:r>
      <w:proofErr w:type="spellStart"/>
      <w:r w:rsidR="00781AF8" w:rsidRPr="007B0B53">
        <w:t>Duchenne</w:t>
      </w:r>
      <w:proofErr w:type="spellEnd"/>
      <w:r w:rsidR="00781AF8" w:rsidRPr="007B0B53">
        <w:t xml:space="preserve">. “A principal conquista da comissão foi o acordo que garante economia aproximada para os cofres públicos de R$ 250 milhões e prevê o cumprimento de decisões liminares (provisórias) para a compra do remédio de alto custo. A proposta garante uma redução significativa do preço para a aquisição do </w:t>
      </w:r>
      <w:proofErr w:type="spellStart"/>
      <w:r w:rsidR="00781AF8" w:rsidRPr="007B0B53">
        <w:t>Elevidys</w:t>
      </w:r>
      <w:proofErr w:type="spellEnd"/>
      <w:r w:rsidR="00781AF8" w:rsidRPr="007B0B53">
        <w:t xml:space="preserve">. Na época do início dos trabalhos, a dose do remédio tinha custo estimado em R$ 17 milhões. Os termos foram homologados pelo relator, ministro Gilmar Mendes, em dezembro e referendados pelo Plenário neste mês. Em nome do ministro Gilmar Mendes, o juiz Diego </w:t>
      </w:r>
      <w:proofErr w:type="spellStart"/>
      <w:r w:rsidR="00781AF8" w:rsidRPr="007B0B53">
        <w:t>Viega</w:t>
      </w:r>
      <w:proofErr w:type="spellEnd"/>
      <w:r w:rsidR="00781AF8" w:rsidRPr="007B0B53">
        <w:t xml:space="preserve"> Veras agradeceu os participantes pelo empenho e destacou o valor histórico do acordo. “Foram feitos avanços e esforços significativos, e este acordo é inovador”, disse. </w:t>
      </w:r>
      <w:r w:rsidR="00781AF8" w:rsidRPr="007B0B53">
        <w:rPr>
          <w:rStyle w:val="Forte"/>
          <w:rFonts w:eastAsiaTheme="majorEastAsia"/>
          <w:b w:val="0"/>
          <w:bCs w:val="0"/>
        </w:rPr>
        <w:t>Atualizações -</w:t>
      </w:r>
      <w:r w:rsidR="00781AF8" w:rsidRPr="007B0B53">
        <w:t xml:space="preserve"> A última audiência, realizada nesta quarta-feira (26), serviu para os integrantes da comissão atualizarem o gabinete do relator sobre o cumprimento do acordo e o valor efetivamente pago por cada medicamento no âmbito do Sistema Único de Saúde (SUS). A União informou que, desde a homologação, três pacientes já receberam o </w:t>
      </w:r>
      <w:proofErr w:type="spellStart"/>
      <w:r w:rsidR="00781AF8" w:rsidRPr="007B0B53">
        <w:t>Elevidys</w:t>
      </w:r>
      <w:proofErr w:type="spellEnd"/>
      <w:r w:rsidR="00781AF8" w:rsidRPr="007B0B53">
        <w:t xml:space="preserve">: dois no Hospital de Clínicas de Porto Alegre e um no Hospital Fernandes </w:t>
      </w:r>
      <w:proofErr w:type="spellStart"/>
      <w:r w:rsidR="00781AF8" w:rsidRPr="007B0B53">
        <w:t>Filgueiras</w:t>
      </w:r>
      <w:proofErr w:type="spellEnd"/>
      <w:r w:rsidR="00781AF8" w:rsidRPr="007B0B53">
        <w:t xml:space="preserve">, no Rio de Janeiro. Um quarto paciente, de Santa Catarina, deverá receber a medicação nas próximas semanas. Em todos os casos, a aplicação foi feita pelo SUS, com o transporte dos passageiros até os hospitais e o acompanhamento médico antes, durante e depois do procedimento. Também foram informados os avanços realizados no processo de incorporação do </w:t>
      </w:r>
      <w:proofErr w:type="spellStart"/>
      <w:r w:rsidR="00781AF8" w:rsidRPr="007B0B53">
        <w:t>Elevidys</w:t>
      </w:r>
      <w:proofErr w:type="spellEnd"/>
      <w:r w:rsidR="00781AF8" w:rsidRPr="007B0B53">
        <w:t xml:space="preserve"> ao SUS pela Comissão Nacional de Incorporação de Tecnologias no Sistema Único de Saúde (</w:t>
      </w:r>
      <w:proofErr w:type="spellStart"/>
      <w:r w:rsidR="00781AF8" w:rsidRPr="007B0B53">
        <w:t>Conitec</w:t>
      </w:r>
      <w:proofErr w:type="spellEnd"/>
      <w:r w:rsidR="00781AF8" w:rsidRPr="007B0B53">
        <w:t xml:space="preserve">). O registro do medicamento foi aprovado pela Agência Nacional de Vigilância Sanitária (Anvisa) em dezembro de 2024. </w:t>
      </w:r>
      <w:r w:rsidR="00781AF8" w:rsidRPr="007B0B53">
        <w:rPr>
          <w:rStyle w:val="Forte"/>
          <w:rFonts w:eastAsiaTheme="majorEastAsia"/>
          <w:b w:val="0"/>
          <w:bCs w:val="0"/>
        </w:rPr>
        <w:t>O acordo -</w:t>
      </w:r>
      <w:r w:rsidR="00781AF8" w:rsidRPr="007B0B53">
        <w:t xml:space="preserve"> O acordo firmado entre a União e a farmacêutica Roche foi homologado em dezembro do ano passado pelo ministro Gilmar Mendes. Os termos preveem que a União deverá cumprir todas as decisões liminares proferidas até a data da homologação para a compra do </w:t>
      </w:r>
      <w:proofErr w:type="spellStart"/>
      <w:r w:rsidR="00781AF8" w:rsidRPr="007B0B53">
        <w:t>Elevidys</w:t>
      </w:r>
      <w:proofErr w:type="spellEnd"/>
      <w:r w:rsidR="00781AF8" w:rsidRPr="007B0B53">
        <w:t>. As medidas estavam suspensas por decisão do relator, referendada pela Segunda Turma. </w:t>
      </w:r>
      <w:r w:rsidR="00781AF8" w:rsidRPr="007B0B53">
        <w:rPr>
          <w:rStyle w:val="Forte"/>
          <w:b w:val="0"/>
        </w:rPr>
        <w:t>A íntegra da decisão pode ser lida aqui</w:t>
      </w:r>
      <w:r w:rsidR="00781AF8" w:rsidRPr="007B0B53">
        <w:t xml:space="preserve"> [hiperlink]. A proposta homologada também garante uma redução significativa do preço para a aquisição do medicamento pela União. O ministro fixou prazo de 90 dias para a União finalizar os trâmites administrativos para cumprir todas as medidas liminares, como a inexigibilidade de licitação e a disponibilização orçamentária. O acordo ainda prevê que a União deverá sempre observar a janela de oportunidade de cada paciente, para que não haja prejuízo por eventual demora do processo administrativo. Em relação a pacientes que possam perder a janela de elegibilidade para infusão do medicamento nos próximos 150 dias, o ministro fixou que o Ministério da Saúde está autorizado a implementar todas as medidas necessárias para garantir a importação. O acordo fixado na audiência não é um acordo comercial para o fornecimento do </w:t>
      </w:r>
      <w:proofErr w:type="spellStart"/>
      <w:r w:rsidR="00781AF8" w:rsidRPr="007B0B53">
        <w:t>Elevidys</w:t>
      </w:r>
      <w:proofErr w:type="spellEnd"/>
      <w:r w:rsidR="00781AF8" w:rsidRPr="007B0B53">
        <w:t xml:space="preserve"> pelo SUS, mas uma proposta conjunta para definir a forma de cumprimento das decisões liminares proferidas até o momento.</w:t>
      </w:r>
    </w:p>
    <w:p w:rsidR="002846ED" w:rsidRPr="007B0B53" w:rsidRDefault="00781AF8" w:rsidP="002846ED">
      <w:pPr>
        <w:pStyle w:val="NormalWeb"/>
        <w:shd w:val="clear" w:color="auto" w:fill="FFFFFF"/>
        <w:spacing w:before="240" w:beforeAutospacing="0" w:after="0" w:afterAutospacing="0"/>
        <w:jc w:val="both"/>
        <w:textAlignment w:val="baseline"/>
      </w:pPr>
      <w:r w:rsidRPr="007B0B53">
        <w:t xml:space="preserve">STF </w:t>
      </w:r>
      <w:r w:rsidR="002846ED" w:rsidRPr="007B0B53">
        <w:t xml:space="preserve">(ADPF 635, in Notícias STF 26.02.2025) STF discute com Polícia Federal formas de enfrentamento a organizações criminosas que atuam no RJ - </w:t>
      </w:r>
      <w:r w:rsidR="002846ED" w:rsidRPr="007B0B53">
        <w:rPr>
          <w:spacing w:val="-5"/>
        </w:rPr>
        <w:t>Informações vão auxiliar a decisão do Supremo na Arguição de Descumprimento de Preceito Fundamental (ADPF 635) -</w:t>
      </w:r>
      <w:r w:rsidR="002846ED" w:rsidRPr="007B0B53">
        <w:t xml:space="preserve"> Os ministros Luís Roberto Barroso e Edson </w:t>
      </w:r>
      <w:proofErr w:type="spellStart"/>
      <w:r w:rsidR="002846ED" w:rsidRPr="007B0B53">
        <w:t>Fachin</w:t>
      </w:r>
      <w:proofErr w:type="spellEnd"/>
      <w:r w:rsidR="002846ED" w:rsidRPr="007B0B53">
        <w:t xml:space="preserve">, presidente e vice-presidente do Supremo Tribunal Federal, se reuniram nesta quarta-feira (26) com a cúpula da Polícia Federal para colher informações sobre a segurança pública no Rio de Janeiro e auxiliar a decisão do Supremo na Arguição de Descumprimento de Preceito Fundamental (ADPF 635). Participaram da reunião Andrei Rodrigues, diretor-geral da Polícia Federal (PF), Willian </w:t>
      </w:r>
      <w:proofErr w:type="spellStart"/>
      <w:r w:rsidR="002846ED" w:rsidRPr="007B0B53">
        <w:t>Marad</w:t>
      </w:r>
      <w:proofErr w:type="spellEnd"/>
      <w:r w:rsidR="002846ED" w:rsidRPr="007B0B53">
        <w:t xml:space="preserve">, diretor </w:t>
      </w:r>
      <w:r w:rsidR="002846ED" w:rsidRPr="007B0B53">
        <w:lastRenderedPageBreak/>
        <w:t xml:space="preserve">executivo da PF, Leandro Almada, diretor de inteligência da PF. O ministro </w:t>
      </w:r>
      <w:proofErr w:type="spellStart"/>
      <w:r w:rsidR="002846ED" w:rsidRPr="007B0B53">
        <w:t>Fachin</w:t>
      </w:r>
      <w:proofErr w:type="spellEnd"/>
      <w:r w:rsidR="002846ED" w:rsidRPr="007B0B53">
        <w:t xml:space="preserve"> é relator da ação, que inicialmente discutiu as mortes decorrentes de operações policiais em comunidades no estado. Para os ministros do STF, a gravidade da situação exige o cotejo entre as urgentes demandas por mais segurança e a proteção dos direitos constitucionais de todos cidadãos.</w:t>
      </w:r>
    </w:p>
    <w:p w:rsidR="008D6DF5" w:rsidRPr="007B0B53" w:rsidRDefault="002846ED" w:rsidP="00914AE2">
      <w:pPr>
        <w:pStyle w:val="NormalWeb"/>
        <w:shd w:val="clear" w:color="auto" w:fill="FFFFFF"/>
        <w:spacing w:before="240" w:beforeAutospacing="0" w:after="0" w:afterAutospacing="0"/>
        <w:jc w:val="both"/>
        <w:textAlignment w:val="baseline"/>
      </w:pPr>
      <w:r w:rsidRPr="007B0B53">
        <w:t xml:space="preserve">STF </w:t>
      </w:r>
      <w:r w:rsidR="008D6DF5" w:rsidRPr="007B0B53">
        <w:t xml:space="preserve">(RE 608588, in Notícias STF 20.02.2025) Guardas municipais podem fazer policiamento urbano, decide STF - </w:t>
      </w:r>
      <w:r w:rsidR="008D6DF5" w:rsidRPr="007B0B53">
        <w:rPr>
          <w:spacing w:val="-5"/>
        </w:rPr>
        <w:t>Julgamento com repercussão geral estabeleceu que a atuação das corporações municipais deve respeitar as atribuições de outros órgãos de segurança pública -</w:t>
      </w:r>
      <w:r w:rsidR="008D6DF5" w:rsidRPr="007B0B53">
        <w:t xml:space="preserve"> O Supremo Tribunal Federal (STF) decidiu, nesta quinta-feira (20), que é constitucional a criação de leis pelos municípios para que guardas municipais atuem em ações de segurança urbana. Essas normas devem, no entanto, respeitar limites, de forma a que não se sobreponham, mas cooperem com as atribuições das polícias Civil e Militar, cujas funções são reguladas pela Constituição e por normas estaduais. A matéria foi julgada no Recurso Extraordinário </w:t>
      </w:r>
      <w:r w:rsidR="008D6DF5" w:rsidRPr="007B0B53">
        <w:rPr>
          <w:rStyle w:val="Forte"/>
          <w:rFonts w:eastAsiaTheme="majorEastAsia"/>
          <w:b w:val="0"/>
        </w:rPr>
        <w:t>(RE) 608588</w:t>
      </w:r>
      <w:r w:rsidR="008D6DF5" w:rsidRPr="007B0B53">
        <w:t xml:space="preserve">, com repercussão geral (Tema 656), o que significa que a decisão do STF deverá ser seguida pelas demais instâncias da Justiça em casos que questionam as atribuições das guardas municipais. No Tribunal, há 53 ações pendentes sobre o tema, cuja tramitação será liberada após o julgamento desta quinta. De acordo com o entendimento fixado, as guardas municipais </w:t>
      </w:r>
      <w:proofErr w:type="spellStart"/>
      <w:r w:rsidR="008D6DF5" w:rsidRPr="007B0B53">
        <w:t>não</w:t>
      </w:r>
      <w:proofErr w:type="spellEnd"/>
      <w:r w:rsidR="008D6DF5" w:rsidRPr="007B0B53">
        <w:t xml:space="preserve"> </w:t>
      </w:r>
      <w:proofErr w:type="spellStart"/>
      <w:r w:rsidR="008D6DF5" w:rsidRPr="007B0B53">
        <w:t>têm</w:t>
      </w:r>
      <w:proofErr w:type="spellEnd"/>
      <w:r w:rsidR="008D6DF5" w:rsidRPr="007B0B53">
        <w:t xml:space="preserve"> poder de investigar, mas podem fazer policiamento ostensivo e </w:t>
      </w:r>
      <w:proofErr w:type="spellStart"/>
      <w:r w:rsidR="008D6DF5" w:rsidRPr="007B0B53">
        <w:t>comunitário</w:t>
      </w:r>
      <w:proofErr w:type="spellEnd"/>
      <w:r w:rsidR="008D6DF5" w:rsidRPr="007B0B53">
        <w:t xml:space="preserve"> e agir diante de condutas lesivas a pessoas, bens e </w:t>
      </w:r>
      <w:proofErr w:type="spellStart"/>
      <w:r w:rsidR="008D6DF5" w:rsidRPr="007B0B53">
        <w:t>serviços</w:t>
      </w:r>
      <w:proofErr w:type="spellEnd"/>
      <w:r w:rsidR="008D6DF5" w:rsidRPr="007B0B53">
        <w:t xml:space="preserve">, inclusive realizar </w:t>
      </w:r>
      <w:proofErr w:type="spellStart"/>
      <w:r w:rsidR="008D6DF5" w:rsidRPr="007B0B53">
        <w:t>prisões</w:t>
      </w:r>
      <w:proofErr w:type="spellEnd"/>
      <w:r w:rsidR="008D6DF5" w:rsidRPr="007B0B53">
        <w:t xml:space="preserve"> em flagrante, respeitadas as </w:t>
      </w:r>
      <w:proofErr w:type="spellStart"/>
      <w:r w:rsidR="008D6DF5" w:rsidRPr="007B0B53">
        <w:t>atribuições</w:t>
      </w:r>
      <w:proofErr w:type="spellEnd"/>
      <w:r w:rsidR="008D6DF5" w:rsidRPr="007B0B53">
        <w:t xml:space="preserve"> dos demais </w:t>
      </w:r>
      <w:proofErr w:type="spellStart"/>
      <w:r w:rsidR="008D6DF5" w:rsidRPr="007B0B53">
        <w:t>órgãos</w:t>
      </w:r>
      <w:proofErr w:type="spellEnd"/>
      <w:r w:rsidR="008D6DF5" w:rsidRPr="007B0B53">
        <w:t xml:space="preserve"> de </w:t>
      </w:r>
      <w:proofErr w:type="spellStart"/>
      <w:r w:rsidR="008D6DF5" w:rsidRPr="007B0B53">
        <w:t>segurança</w:t>
      </w:r>
      <w:proofErr w:type="spellEnd"/>
      <w:r w:rsidR="008D6DF5" w:rsidRPr="007B0B53">
        <w:t xml:space="preserve"> </w:t>
      </w:r>
      <w:proofErr w:type="spellStart"/>
      <w:r w:rsidR="008D6DF5" w:rsidRPr="007B0B53">
        <w:t>pública</w:t>
      </w:r>
      <w:proofErr w:type="spellEnd"/>
      <w:r w:rsidR="008D6DF5" w:rsidRPr="007B0B53">
        <w:t xml:space="preserve">. </w:t>
      </w:r>
      <w:r w:rsidR="008D6DF5" w:rsidRPr="007B0B53">
        <w:rPr>
          <w:rStyle w:val="Forte"/>
          <w:b w:val="0"/>
          <w:bCs w:val="0"/>
        </w:rPr>
        <w:t>Caso concreto</w:t>
      </w:r>
      <w:r w:rsidR="008D6DF5" w:rsidRPr="007B0B53">
        <w:t xml:space="preserve"> - O recurso que gerou a discussão questionava decisão do Tribunal de Justiça de São Paulo (TJ-SP) que derrubou uma norma municipal que concedia à Guarda Civil Metropolitana o poder de fazer policiamento preventivo e comunitário e prisões em flagrante. Para o TJ-SP, o Legislativo municipal havia invadido a competência do estado ao legislar sobre segurança pública. O relator, ministro Luiz </w:t>
      </w:r>
      <w:proofErr w:type="spellStart"/>
      <w:r w:rsidR="008D6DF5" w:rsidRPr="007B0B53">
        <w:t>Fux</w:t>
      </w:r>
      <w:proofErr w:type="spellEnd"/>
      <w:r w:rsidR="008D6DF5" w:rsidRPr="007B0B53">
        <w:t xml:space="preserve">, frisou que o STF já tem entendimento de que, assim como as polícias Civil e Militar, as guardas municipais também integram o Sistema de Segurança Pública. Ele lembrou que a competência para legislar sobre a atuação das polícias cabe não só aos estados e à União, mas também aos municípios. Seu voto foi acompanhado por oito ministros. “Não podemos afastar nenhum dos entes federativos no combate à violência”, afirmou o ministro Alexandre de Moraes. Ele defendeu que as guardas municipais não se restrinjam à proteção do patrimônio público, mas trabalhem em cooperação com os demais órgãos policiais. O ministro Flávio Dino também defendeu uma interpretação ampliada do papel das guardas. </w:t>
      </w:r>
      <w:r w:rsidR="008D6DF5" w:rsidRPr="007B0B53">
        <w:rPr>
          <w:rStyle w:val="Forte"/>
          <w:b w:val="0"/>
          <w:bCs w:val="0"/>
        </w:rPr>
        <w:t>Divergência -</w:t>
      </w:r>
      <w:r w:rsidR="008D6DF5" w:rsidRPr="007B0B53">
        <w:t xml:space="preserve"> Vencido, o voto divergente foi do ministro Cristiano Zanin, acompanhado pelo ministro Edson </w:t>
      </w:r>
      <w:proofErr w:type="spellStart"/>
      <w:r w:rsidR="008D6DF5" w:rsidRPr="007B0B53">
        <w:t>Fachin</w:t>
      </w:r>
      <w:proofErr w:type="spellEnd"/>
      <w:r w:rsidR="008D6DF5" w:rsidRPr="007B0B53">
        <w:t xml:space="preserve">. Para ambos, a razão que motivou a ação deixou de existir, uma vez que uma nova lei em vigor se sobrepôs à norma invalidada pelo TJ-SP. Cada um apresentou uma tese distinta, buscando estabelecer limites mais claros para o policiamento ostensivo das guardas, mas esses entendimentos também ficaram vencidos. </w:t>
      </w:r>
      <w:r w:rsidR="008D6DF5" w:rsidRPr="007B0B53">
        <w:rPr>
          <w:rStyle w:val="Forte"/>
          <w:b w:val="0"/>
          <w:bCs w:val="0"/>
        </w:rPr>
        <w:t>Tese -</w:t>
      </w:r>
      <w:r w:rsidR="008D6DF5" w:rsidRPr="007B0B53">
        <w:t xml:space="preserve"> A tese de repercussão geral firmada foi a seguinte: “É constitucional, no âmbito dos municípios, o exercício de ações de segurança urbana pelas guardas municipais, inclusive o policiamento ostensivo comunitário, respeitadas as atribuições dos demais órgãos de segurança pública previstas no artigo 144 da Constituição Federal e excluída qualquer atividade de polícia judiciária, sendo submetidas ao controle externo da atividade policial pelo Ministério Público, nos termos do artigo 129, inciso 7º, da Constituição Federal. Conforme o artigo 144, parágrafo 8º, da Constituição Federal, as leis municipais devem observar normas gerais fixadas pelo Congresso Nacional.”</w:t>
      </w:r>
    </w:p>
    <w:p w:rsidR="00914AE2" w:rsidRPr="007B0B53" w:rsidRDefault="008D6DF5" w:rsidP="00914AE2">
      <w:pPr>
        <w:pStyle w:val="NormalWeb"/>
        <w:shd w:val="clear" w:color="auto" w:fill="FFFFFF"/>
        <w:spacing w:before="240" w:beforeAutospacing="0" w:after="0" w:afterAutospacing="0"/>
        <w:jc w:val="both"/>
        <w:textAlignment w:val="baseline"/>
      </w:pPr>
      <w:r w:rsidRPr="007B0B53">
        <w:t xml:space="preserve">STF </w:t>
      </w:r>
      <w:r w:rsidR="00914AE2" w:rsidRPr="007B0B53">
        <w:t>(ADI 7629, in Informativo STF 1165) DIREITO ADMINISTRATIVO – SERVIÇOS PÚBLICOS; SERVIÇOS SOCIAIS; SAÚDE; TERCEIRO SETOR; MODELOS DE GESTÃO; DESCENTRALIZAÇÃO DA EXECUÇÃO - DIREITO CONSTITUCIONAL – ORGANIZAÇÃO DO ESTADO; ORDEM SOCIAL; SAÚDE -</w:t>
      </w:r>
      <w:bookmarkStart w:id="12" w:name="ADI7629"/>
      <w:r w:rsidR="00914AE2" w:rsidRPr="007B0B53">
        <w:t xml:space="preserve"> </w:t>
      </w:r>
      <w:r w:rsidR="00914AE2" w:rsidRPr="007B0B53">
        <w:rPr>
          <w:bCs/>
          <w:i/>
          <w:iCs/>
        </w:rPr>
        <w:t>Serviços públicos não exclusivos: programa de descentralização da execução de serviços sociais para as entidades do terceiro setor no âmbito estadual</w:t>
      </w:r>
      <w:bookmarkEnd w:id="12"/>
      <w:r w:rsidR="00914AE2" w:rsidRPr="007B0B53">
        <w:rPr>
          <w:bCs/>
          <w:i/>
          <w:iCs/>
        </w:rPr>
        <w:t xml:space="preserve"> - </w:t>
      </w:r>
      <w:r w:rsidR="00914AE2" w:rsidRPr="007B0B53">
        <w:rPr>
          <w:bCs/>
        </w:rPr>
        <w:t>É constitucional — e não ofende a diretriz constitucional da participação popular no âmbito do Sistema Único de Saúde (CF/1988, art. 198, III) — lei estadual que dispõe sobre programa de descentralização da execução de serviços públicos não exclusivos para as entidades do terceiro setor, desde que esse modelo de gestão seja conduzido de forma pública, objetiva e impessoal (CF/1988, art. 37, </w:t>
      </w:r>
      <w:r w:rsidR="00914AE2" w:rsidRPr="007B0B53">
        <w:rPr>
          <w:bCs/>
          <w:i/>
          <w:iCs/>
        </w:rPr>
        <w:t>caput</w:t>
      </w:r>
      <w:r w:rsidR="00914AE2" w:rsidRPr="007B0B53">
        <w:rPr>
          <w:bCs/>
        </w:rPr>
        <w:t>), sem prejuízo da fiscalização do Ministério Público e do Tribunal de Contas correspondentes quanto à utilização de verbas públicas.</w:t>
      </w:r>
      <w:r w:rsidR="00914AE2" w:rsidRPr="007B0B53">
        <w:rPr>
          <w:b/>
          <w:bCs/>
        </w:rPr>
        <w:t xml:space="preserve"> </w:t>
      </w:r>
      <w:r w:rsidR="00914AE2" w:rsidRPr="007B0B53">
        <w:t xml:space="preserve">Conforme jurisprudência desta Corte [Precedentes citados: ADI 1923, ADI 4197, RE 684612 – Tema 698 RG], deve prevalecer a autonomia de cada ente federativo na ausência de um modelo de organização administrativa predefinido pela Constituição Federal de 1988. Nesse contexto, é constitucional a prestação de serviços públicos sociais por entidades do terceiro setor, pois há margem </w:t>
      </w:r>
      <w:r w:rsidR="00914AE2" w:rsidRPr="007B0B53">
        <w:lastRenderedPageBreak/>
        <w:t>político-administrativa para a adoção desse modelo de gestão no caso de serviços que não necessitem ser prestados de forma exclusiva ou privativa pelo Estado. A atuação das entidades do terceiro setor — entre as quais se incluem as organizações sociais, as organizações da sociedade civil de interesse público e as organizações da sociedade civil — deve se pautar pelos princípios que orientam a atuação estatal (CF/1988, art. 37, </w:t>
      </w:r>
      <w:r w:rsidR="00914AE2" w:rsidRPr="007B0B53">
        <w:rPr>
          <w:i/>
          <w:iCs/>
        </w:rPr>
        <w:t>caput</w:t>
      </w:r>
      <w:r w:rsidR="00914AE2" w:rsidRPr="007B0B53">
        <w:t>), apesar de elas não integrarem o conceito constitucional de “Administração Pública”. Na espécie, os dispositivos impugnados apenas viabilizam a escolha político-administrativa do estado-membro, cuja opção é admitida constitucionalmente. Ademais, o controle social pode ser realizado de diversas maneiras, não se restringindo à participação direta. Dessa forma, não se pretende reduzir a participação da comunidade, pois, no curso do procedimento de descentralização, são assegurados outros mecanismos fiscalizatórios, em especial, as regras relativas à seleção pública e ao controle exercido pelo Tribunal de Contas e pelo </w:t>
      </w:r>
      <w:r w:rsidR="00914AE2" w:rsidRPr="007B0B53">
        <w:rPr>
          <w:i/>
          <w:iCs/>
        </w:rPr>
        <w:t>Parquet</w:t>
      </w:r>
      <w:r w:rsidR="00914AE2" w:rsidRPr="007B0B53">
        <w:t>. Com base nesses e em outros entendimentos, o Plenário, por unanimidade, julgou parcialmente procedente a ação, a fim de conferir interpretação conforme a Constituição, para assentar que o procedimento de descentralização da execução dos serviços públicos não exclusivos para as entidades do terceiro setor, regulado pela Lei nº 23.081/2018 do Estado de Minas Gerais, deve ser conduzido de forma pública, objetiva e impessoal, em observância aos princípios do art. 37, </w:t>
      </w:r>
      <w:r w:rsidR="00914AE2" w:rsidRPr="007B0B53">
        <w:rPr>
          <w:i/>
          <w:iCs/>
        </w:rPr>
        <w:t>caput</w:t>
      </w:r>
      <w:r w:rsidR="00914AE2" w:rsidRPr="007B0B53">
        <w:t>, da CF/1988, sem prejuízo da fiscalização do Ministério Público e do Tribunal de Contas quanto à utilização de verbas públicas.</w:t>
      </w:r>
    </w:p>
    <w:p w:rsidR="00824705" w:rsidRPr="007B0B53" w:rsidRDefault="00914AE2" w:rsidP="00824705">
      <w:pPr>
        <w:pStyle w:val="NormalWeb"/>
        <w:shd w:val="clear" w:color="auto" w:fill="FFFFFF"/>
        <w:spacing w:before="240" w:beforeAutospacing="0" w:after="0" w:afterAutospacing="0"/>
        <w:jc w:val="both"/>
        <w:textAlignment w:val="baseline"/>
      </w:pPr>
      <w:r w:rsidRPr="007B0B53">
        <w:t xml:space="preserve">STF </w:t>
      </w:r>
      <w:r w:rsidR="00824705" w:rsidRPr="007B0B53">
        <w:t xml:space="preserve">(ADI 3268, in Migalhas 14.02.2025) Educação confessional – STF valida lei estadual que regulamenta ensino religioso confessional - Decisão reafirmou compatibilidade da norma com a laicidade e a liberdade religiosa. STF declarou constitucional a lei 3.459/00 do Rio de Janeiro, que regulamenta o ensino religioso confessional nas escolas públicas do Estado. Os ministros seguiram o voto do relator, ministro Nunes Marques, que destacou a compatibilidade da norma com o princípio da laicidade do Estado e a garantia da liberdade religiosa. Contestação da lei - A lei 3.459/00 determina que o ensino religioso confessional seja oferecido de forma facultativa nas escolas públicas, garantindo a liberdade de escolha dos alunos e respeitando a diversidade de crenças. A CNTE - Confederação Nacional dos Trabalhadores em Educação alegou que a lei estadual violaria o princípio da laicidade previsto na Constituição, podendo discriminar alunos e professores com crenças diferentes ou sem religião. Também sustentou que a norma invadia competência exclusiva da União ao legislar sobre diretrizes e bases da educação e comprometia a neutralidade do Estado em relação às religiões. Por outro lado, o Estado do Rio de Janeiro defendeu que a lei está de acordo com o texto constitucional, que prevê o ensino religioso facultativo nas escolas públicas, e apenas regulamenta essa previsão, respeitando a liberdade de crença e a diversidade de confissões. Voto do relator - O ministro Nunes Marques destacou que a norma respeita tanto a liberdade religiosa quanto o princípio da laicidade do Estado. Segundo o ministro, "a laicidade, entendida como separação entre o Estado e a Igreja, não significa antagonismo, mas convivência harmônica". O relator afirmou que a regulamentação estadual está alinhada com a previsão constitucional que estabelece o ensino religioso como disciplina facultativa nas escolas públicas de ensino fundamental. O ministro ressaltou que "o ensino religioso nas escolas públicas deve respeitar o caráter confessional, cabendo às diversas religiões declarar seus dogmas de fé", garantindo que o Estado não interfira na definição dos conteúdos. Além disso, Nunes Marques sublinhou que a matrícula facultativa protege a liberdade de escolha das famílias e assegura que a diversidade religiosa seja respeitada. "A facultatividade das matrículas já seria o suficiente para harmonizar o imperativo de não proselitismo, de um lado, e o direito subjetivo ao ensino religioso, de outro", afirmou. O ministro também destacou que o modelo confessional já foi considerado constitucional pelo STF em precedentes, como na </w:t>
      </w:r>
      <w:proofErr w:type="spellStart"/>
      <w:r w:rsidR="00824705" w:rsidRPr="007B0B53">
        <w:t>ADIn</w:t>
      </w:r>
      <w:proofErr w:type="spellEnd"/>
      <w:r w:rsidR="00824705" w:rsidRPr="007B0B53">
        <w:t xml:space="preserve"> 4.439, reafirmando sua compatibilidade com a laicidade do Estado, desde que respeite a pluralidade e evite imposições de crenças. Com esses fundamentos, o ministro concluiu seu voto pela constitucionalidade da norma estadual.</w:t>
      </w:r>
    </w:p>
    <w:p w:rsidR="000F6A5F" w:rsidRPr="007B0B53" w:rsidRDefault="00DB713E" w:rsidP="000F6A5F">
      <w:pPr>
        <w:pStyle w:val="NormalWeb"/>
        <w:shd w:val="clear" w:color="auto" w:fill="FFFFFF"/>
        <w:spacing w:before="240" w:beforeAutospacing="0" w:after="0" w:afterAutospacing="0"/>
        <w:jc w:val="both"/>
        <w:textAlignment w:val="baseline"/>
        <w:rPr>
          <w:spacing w:val="-5"/>
        </w:rPr>
      </w:pPr>
      <w:r w:rsidRPr="007B0B53">
        <w:t>STF (</w:t>
      </w:r>
      <w:r w:rsidR="000F6A5F" w:rsidRPr="007B0B53">
        <w:t>SL 1696</w:t>
      </w:r>
      <w:r w:rsidRPr="007B0B53">
        <w:t>, in Notícias STF 14.02.2025)</w:t>
      </w:r>
      <w:r w:rsidR="000F6A5F" w:rsidRPr="007B0B53">
        <w:t xml:space="preserve"> Presidente do STF se encontra com governador de SP e ouve explicações sobre câmeras na Polícia Militar - </w:t>
      </w:r>
      <w:r w:rsidR="000F6A5F" w:rsidRPr="007B0B53">
        <w:rPr>
          <w:spacing w:val="-5"/>
        </w:rPr>
        <w:t xml:space="preserve">Ministro Luís Roberto Barroso destacou disposição do governo estadual em aumentar o número de equipamentos nas fardas – </w:t>
      </w:r>
      <w:r w:rsidR="000F6A5F" w:rsidRPr="007B0B53">
        <w:t xml:space="preserve">O presidente do Supremo Tribunal Federal, ministro Luís Roberto Barroso, se reuniu nesta sexta-feira (14) com o governador de São Paulo, </w:t>
      </w:r>
      <w:proofErr w:type="spellStart"/>
      <w:r w:rsidR="000F6A5F" w:rsidRPr="007B0B53">
        <w:t>Tarcisio</w:t>
      </w:r>
      <w:proofErr w:type="spellEnd"/>
      <w:r w:rsidR="000F6A5F" w:rsidRPr="007B0B53">
        <w:t xml:space="preserve"> de Freitas, e acompanhou uma apresentação sobre o uso de câmeras corporais pela Polícia Militar paulista.</w:t>
      </w:r>
      <w:r w:rsidR="000F6A5F" w:rsidRPr="007B0B53">
        <w:rPr>
          <w:spacing w:val="-5"/>
        </w:rPr>
        <w:t xml:space="preserve"> </w:t>
      </w:r>
      <w:r w:rsidR="000F6A5F" w:rsidRPr="007B0B53">
        <w:t xml:space="preserve">O comandante-geral da corporação, coronel Cássio Araújo de Freitas, apresentou ao ministro informações sobre a utilização do equipamento e sobre como funciona o acionamento, a captação e o </w:t>
      </w:r>
      <w:r w:rsidR="000F6A5F" w:rsidRPr="007B0B53">
        <w:lastRenderedPageBreak/>
        <w:t>armazenamento das imagens. Barroso também tirou dúvidas sobre o sistema.</w:t>
      </w:r>
      <w:r w:rsidR="000F6A5F" w:rsidRPr="007B0B53">
        <w:rPr>
          <w:spacing w:val="-5"/>
        </w:rPr>
        <w:t xml:space="preserve"> </w:t>
      </w:r>
      <w:r w:rsidR="000F6A5F" w:rsidRPr="007B0B53">
        <w:t xml:space="preserve">Além do governador e do comandante, também participaram da atividade o presidente do Tribunal de Justiça de São Paulo, desembargador Fernando </w:t>
      </w:r>
      <w:proofErr w:type="spellStart"/>
      <w:r w:rsidR="000F6A5F" w:rsidRPr="007B0B53">
        <w:t>Antonio</w:t>
      </w:r>
      <w:proofErr w:type="spellEnd"/>
      <w:r w:rsidR="000F6A5F" w:rsidRPr="007B0B53">
        <w:t xml:space="preserve"> Torres Garcia, e o secretário de Segurança Pública de São Paulo, Guilherme </w:t>
      </w:r>
      <w:proofErr w:type="spellStart"/>
      <w:r w:rsidR="000F6A5F" w:rsidRPr="007B0B53">
        <w:t>Derrite</w:t>
      </w:r>
      <w:proofErr w:type="spellEnd"/>
      <w:r w:rsidR="000F6A5F" w:rsidRPr="007B0B53">
        <w:t>, além de outras autoridades estaduais da área de segurança.</w:t>
      </w:r>
      <w:r w:rsidR="000F6A5F" w:rsidRPr="007B0B53">
        <w:rPr>
          <w:spacing w:val="-5"/>
        </w:rPr>
        <w:t xml:space="preserve"> </w:t>
      </w:r>
      <w:r w:rsidR="000F6A5F" w:rsidRPr="007B0B53">
        <w:t>O ministro Barroso se mostrou extremamente satisfeito com o fato de o governador ter reconhecido a importância das câmeras nas fardas e estar inclusive disposto a aumentar o número de câmeras. Na exposição de hoje, o governador procurou mostrar que o modelo atual de armazenamento de imagens por três meses é extremamente oneroso e compromete um orçamento que poderia ser utilizado para aumentar o número de câmeras. Acrescentou que, com a nova tecnologia, já tem condições de aumentar o número de 10 mil para 12 mil e, em pouco tempo, chegar a 15 mil. O ministro ouviu com atenção e interesse e, em breve, irá decidir a respeito.</w:t>
      </w:r>
      <w:r w:rsidR="000F6A5F" w:rsidRPr="007B0B53">
        <w:rPr>
          <w:spacing w:val="-5"/>
        </w:rPr>
        <w:t xml:space="preserve"> </w:t>
      </w:r>
      <w:r w:rsidR="000F6A5F" w:rsidRPr="007B0B53">
        <w:t>O presidente do STF e o governador de SP têm boas relações pessoais e conversam sempre que há alguma questão de interesse público envolvida. “Esse é um bom exemplo de como o diálogo institucional civilizado, de alto nível, com pessoas de boa-fé e com boa vontade, torna possível o aprimoramento das instituições e, no caso específico, da segurança pública, que é hoje uma das maiores preocupações brasileiras”, afirmou, ao final do encontro.</w:t>
      </w:r>
      <w:r w:rsidR="000F6A5F" w:rsidRPr="007B0B53">
        <w:rPr>
          <w:spacing w:val="-5"/>
        </w:rPr>
        <w:t xml:space="preserve"> </w:t>
      </w:r>
      <w:r w:rsidR="000F6A5F" w:rsidRPr="007B0B53">
        <w:t>Responsável pela Suspensão de Liminar (SL) 1696, que trata do tema, Barroso vai analisar recurso recente apresentado pelo governo do estado sobre a implantação das câmeras corporais. Na última terça-feira (11), o ministro prorrogou o prazo para que o estado apresente informações sobre a ordem de adoção prioritária das câmeras nas fardas dos policiais e sobre os indicadores que serão usados para avaliar a efetividade da política pública.</w:t>
      </w:r>
    </w:p>
    <w:p w:rsidR="00EC7CCF" w:rsidRPr="007B0B53" w:rsidRDefault="001F77F9" w:rsidP="00EC7CCF">
      <w:pPr>
        <w:spacing w:before="240"/>
        <w:rPr>
          <w:rFonts w:cs="Times New Roman"/>
          <w:szCs w:val="24"/>
        </w:rPr>
      </w:pPr>
      <w:r w:rsidRPr="007B0B53">
        <w:rPr>
          <w:rFonts w:cs="Times New Roman"/>
          <w:szCs w:val="24"/>
        </w:rPr>
        <w:t xml:space="preserve">STF </w:t>
      </w:r>
      <w:r w:rsidR="00EC7CCF" w:rsidRPr="007B0B53">
        <w:rPr>
          <w:rFonts w:cs="Times New Roman"/>
          <w:szCs w:val="24"/>
        </w:rPr>
        <w:t>(</w:t>
      </w:r>
      <w:r w:rsidR="003763E0" w:rsidRPr="007B0B53">
        <w:rPr>
          <w:rFonts w:cs="Times New Roman"/>
          <w:szCs w:val="24"/>
        </w:rPr>
        <w:t>RE 1481861, in Notícias STF 12.02.2025</w:t>
      </w:r>
      <w:r w:rsidR="00EC7CCF" w:rsidRPr="007B0B53">
        <w:rPr>
          <w:rFonts w:cs="Times New Roman"/>
          <w:szCs w:val="24"/>
        </w:rPr>
        <w:t>) Mais transparência – STF valida lei municipal que obriga divulgação dos nomes e horários de médicos do SUS – O ministro do Supremo Tribunal Federal Nunes Marques validou uma lei do município de São José do Rio Preto (SP) que determina a divulgação, em unidades públicas de saúde, de uma lista com nomes, especialidade e horários de atendimento de todos os seus profissionais. A decisão foi dada em recurso extraordinário do Ministério Público de São Paulo contra decisão do Tribunal de Justiça do estado que havia invalidado a Lei municipal 14.595/2022, por ser de iniciativa parlamentar, e não do Executivo. Segundo o MP-SP, a divulgação das informações é uma medida de transparência e, por si só, não altera, nem cria atribuições ao Poder Executivo. Para Nunes Marques, a lei instituiu uma política pública que não viola a competência do prefeito para estabelecer regras sobre o funcionamento da administração pública. Ele citou a tese fixada pelo STF no </w:t>
      </w:r>
      <w:r w:rsidR="00EC7CCF" w:rsidRPr="007B0B53">
        <w:rPr>
          <w:rFonts w:cs="Times New Roman"/>
          <w:bCs/>
          <w:szCs w:val="24"/>
        </w:rPr>
        <w:t>Tema 917</w:t>
      </w:r>
      <w:r w:rsidR="00EC7CCF" w:rsidRPr="007B0B53">
        <w:rPr>
          <w:rFonts w:cs="Times New Roman"/>
          <w:szCs w:val="24"/>
        </w:rPr>
        <w:t> de repercussão geral de que não viola a competência privativa do chefe do Poder Executivo a lei que, embora crie despesa para o poder público, não trata da sua estrutura ou da atribuição de seus órgãos, nem do regime jurídico de servidores públicos.</w:t>
      </w:r>
    </w:p>
    <w:p w:rsidR="007E6B57" w:rsidRPr="007B0B53" w:rsidRDefault="00EC7CCF" w:rsidP="007E6B57">
      <w:pPr>
        <w:spacing w:before="240"/>
        <w:rPr>
          <w:rFonts w:cs="Times New Roman"/>
          <w:szCs w:val="24"/>
        </w:rPr>
      </w:pPr>
      <w:r w:rsidRPr="007B0B53">
        <w:rPr>
          <w:rFonts w:cs="Times New Roman"/>
          <w:szCs w:val="24"/>
        </w:rPr>
        <w:t xml:space="preserve">STF </w:t>
      </w:r>
      <w:r w:rsidR="007E6B57" w:rsidRPr="007B0B53">
        <w:rPr>
          <w:rFonts w:cs="Times New Roman"/>
          <w:szCs w:val="24"/>
        </w:rPr>
        <w:t>(SL 1696</w:t>
      </w:r>
      <w:r w:rsidR="007E6B57" w:rsidRPr="007B0B53">
        <w:rPr>
          <w:rStyle w:val="Forte"/>
          <w:rFonts w:cs="Times New Roman"/>
          <w:b w:val="0"/>
          <w:szCs w:val="24"/>
        </w:rPr>
        <w:t xml:space="preserve">, </w:t>
      </w:r>
      <w:r w:rsidR="007E6B57" w:rsidRPr="007B0B53">
        <w:rPr>
          <w:rFonts w:cs="Times New Roman"/>
          <w:szCs w:val="24"/>
        </w:rPr>
        <w:t xml:space="preserve">in Notícias STF 11.02.2025) STF dá mais 30 dias para São Paulo detalhar adoção de câmeras corporais por PMs - </w:t>
      </w:r>
      <w:r w:rsidR="007E6B57" w:rsidRPr="007B0B53">
        <w:rPr>
          <w:rFonts w:cs="Times New Roman"/>
          <w:spacing w:val="-5"/>
          <w:szCs w:val="24"/>
        </w:rPr>
        <w:t xml:space="preserve">Estado também deverá informar indicadores de monitoramento da medida - </w:t>
      </w:r>
      <w:r w:rsidR="007E6B57" w:rsidRPr="007B0B53">
        <w:rPr>
          <w:rFonts w:cs="Times New Roman"/>
          <w:szCs w:val="24"/>
        </w:rPr>
        <w:t>O presidente do Supremo Tribunal Federal (STF), ministro Luís Roberto Barroso, deu mais 30 dias de prazo para que o Estado de São Paulo apresente informações sobre a ordem de adoção prioritária das câmeras corporais nas fardas dos policiais militares de acordo com os riscos de letalidade policial. O estado também deverá informar quais indicadores serão usados para avaliar a efetividade da política pública. O prazo adicional foi concedido a pedido da Procuradoria Geral do estado (PGE/SP) na Suspensão de Liminar </w:t>
      </w:r>
      <w:r w:rsidR="007E6B57" w:rsidRPr="007B0B53">
        <w:rPr>
          <w:rStyle w:val="Forte"/>
          <w:rFonts w:cs="Times New Roman"/>
          <w:b w:val="0"/>
          <w:szCs w:val="24"/>
        </w:rPr>
        <w:t>(SL) 1696</w:t>
      </w:r>
      <w:r w:rsidR="007E6B57" w:rsidRPr="007B0B53">
        <w:rPr>
          <w:rFonts w:cs="Times New Roman"/>
          <w:szCs w:val="24"/>
        </w:rPr>
        <w:t>, em que o ministro determinou o uso obrigatório dos equipamentos pelos PMs paulistas. O prazo inicial era de 45 dias, a partir da decisão dada pelo presidente do STF em 9 de dezembro. O envio das informações foi reiterado em decisão de 26 de dezembro que estabeleceu regras para o uso das câmeras. Segundo a PGE/SP, o Centro de Inteligência da Polícia Militar está elaborando os levantamentos, mas seria preciso mais tempo, diante da quantidade de dados que precisam ser coletados e analisados. Regras para uso - Conforme definido anteriormente pelo presidente do STF, o uso de câmeras é obrigatório em operações de grande porte ou que incluam incursões em comunidades vulneráveis, quando se destinarem à restauração da ordem pública. Ficou também determinado o uso obrigatório das câmeras em operações deflagradas para responder a ataques contra policiais militares.</w:t>
      </w:r>
    </w:p>
    <w:p w:rsidR="002C566F" w:rsidRPr="007B0B53" w:rsidRDefault="007E6B57" w:rsidP="002C566F">
      <w:pPr>
        <w:spacing w:before="240"/>
        <w:rPr>
          <w:rFonts w:cs="Times New Roman"/>
          <w:szCs w:val="24"/>
        </w:rPr>
      </w:pPr>
      <w:r w:rsidRPr="007B0B53">
        <w:rPr>
          <w:rFonts w:cs="Times New Roman"/>
          <w:szCs w:val="24"/>
        </w:rPr>
        <w:t xml:space="preserve">STF </w:t>
      </w:r>
      <w:r w:rsidR="002C566F" w:rsidRPr="007B0B53">
        <w:rPr>
          <w:rFonts w:cs="Times New Roman"/>
          <w:szCs w:val="24"/>
        </w:rPr>
        <w:t>(RE 1505341</w:t>
      </w:r>
      <w:r w:rsidR="002C566F" w:rsidRPr="007B0B53">
        <w:rPr>
          <w:rStyle w:val="Forte"/>
          <w:rFonts w:cs="Times New Roman"/>
          <w:b w:val="0"/>
          <w:szCs w:val="24"/>
        </w:rPr>
        <w:t xml:space="preserve">, </w:t>
      </w:r>
      <w:r w:rsidR="002C566F" w:rsidRPr="007B0B53">
        <w:rPr>
          <w:rFonts w:cs="Times New Roman"/>
          <w:szCs w:val="24"/>
        </w:rPr>
        <w:t xml:space="preserve">in Notícias STF 07.02.2025) Tarifa de manutenção de cemitérios do Rio em contratos antigos é constitucional, decide STF - </w:t>
      </w:r>
      <w:r w:rsidR="002C566F" w:rsidRPr="007B0B53">
        <w:rPr>
          <w:rFonts w:cs="Times New Roman"/>
          <w:spacing w:val="-5"/>
          <w:szCs w:val="24"/>
        </w:rPr>
        <w:t xml:space="preserve">Plenário seguiu o voto do relator, ministro André Mendonça, que considerou a cobrança está de acordo com o entendimento do STF. </w:t>
      </w:r>
      <w:r w:rsidR="002C566F" w:rsidRPr="007B0B53">
        <w:rPr>
          <w:rFonts w:cs="Times New Roman"/>
          <w:szCs w:val="24"/>
        </w:rPr>
        <w:t xml:space="preserve">O Supremo Tribunal Federal (STF) considerou válida a cobrança de tarifa anual pela manutenção dos cemitérios públicos do Município do </w:t>
      </w:r>
      <w:r w:rsidR="002C566F" w:rsidRPr="007B0B53">
        <w:rPr>
          <w:rFonts w:cs="Times New Roman"/>
          <w:szCs w:val="24"/>
        </w:rPr>
        <w:lastRenderedPageBreak/>
        <w:t>Rio de Janeiro (RJ) em contratos antigos. A decisão unânime foi tomada na análise do Recurso Extraordinário </w:t>
      </w:r>
      <w:r w:rsidR="002C566F" w:rsidRPr="007B0B53">
        <w:rPr>
          <w:rStyle w:val="Forte"/>
          <w:rFonts w:cs="Times New Roman"/>
          <w:b w:val="0"/>
          <w:szCs w:val="24"/>
        </w:rPr>
        <w:t>(RE) 1505341</w:t>
      </w:r>
      <w:r w:rsidR="002C566F" w:rsidRPr="007B0B53">
        <w:rPr>
          <w:rFonts w:cs="Times New Roman"/>
          <w:szCs w:val="24"/>
        </w:rPr>
        <w:t>, na sessão virtual encerrada em 3/2. A questão é tratada pelo Decreto municipal 39.094/2014, que instituiu a tarifa anual para manutenção e transferência de titularidade das sepulturas em cemitérios públicos do município. O caso concreto diz respeito ao direito de uso de um jazigo perpétuo adquirido em 1985, cujo dono faleceu em 1993, ou seja, antes da edição do decreto. Em 2019, quando questionada pelo filho do dono do jazigo, a cobrança foi considerada inconstitucional pelo Tribunal de Justiça do Estado do Rio de Janeiro (TJ-RJ), que invalidou a tarifa para contratos anteriores ao decreto, com fundamento na violação do direito adquirido e na impossibilidade de aplicar uma norma a fatos anteriores a sua edição. A Concessionária Reviver S.A. recorreu dessa decisão ao Supremo por meio do RE. O relator, ministro André Mendonça, votou a favor da validade das tarifas, destacando que a decisão do TJ-RJ é contrária ao entendimento do STF que validou a cobrança em contratos antigos para períodos posteriores à vigência do mesmo decreto (RE 1380801). O entendimento do relator foi seguido por unanimidade.</w:t>
      </w:r>
    </w:p>
    <w:p w:rsidR="00923D08" w:rsidRPr="007B0B53" w:rsidRDefault="002C566F" w:rsidP="00923D08">
      <w:pPr>
        <w:spacing w:before="240"/>
        <w:rPr>
          <w:rFonts w:cs="Times New Roman"/>
          <w:szCs w:val="24"/>
        </w:rPr>
      </w:pPr>
      <w:r w:rsidRPr="007B0B53">
        <w:rPr>
          <w:rFonts w:cs="Times New Roman"/>
          <w:szCs w:val="24"/>
        </w:rPr>
        <w:t xml:space="preserve">STF </w:t>
      </w:r>
      <w:r w:rsidR="00923D08" w:rsidRPr="007B0B53">
        <w:rPr>
          <w:rFonts w:cs="Times New Roman"/>
          <w:szCs w:val="24"/>
        </w:rPr>
        <w:t>(ADPF 635</w:t>
      </w:r>
      <w:r w:rsidR="00923D08" w:rsidRPr="007B0B53">
        <w:rPr>
          <w:rStyle w:val="Forte"/>
          <w:rFonts w:cs="Times New Roman"/>
          <w:b w:val="0"/>
          <w:szCs w:val="24"/>
        </w:rPr>
        <w:t xml:space="preserve">, </w:t>
      </w:r>
      <w:r w:rsidR="00923D08" w:rsidRPr="007B0B53">
        <w:rPr>
          <w:rFonts w:cs="Times New Roman"/>
          <w:szCs w:val="24"/>
        </w:rPr>
        <w:t xml:space="preserve">in Notícias STF 05.02.2025) Relator propõe homologação parcial de plano do Rio de Janeiro para reduzir letalidade policial - </w:t>
      </w:r>
      <w:r w:rsidR="00923D08" w:rsidRPr="007B0B53">
        <w:rPr>
          <w:rFonts w:cs="Times New Roman"/>
          <w:spacing w:val="-5"/>
          <w:szCs w:val="24"/>
        </w:rPr>
        <w:t xml:space="preserve">Ministro Edson </w:t>
      </w:r>
      <w:proofErr w:type="spellStart"/>
      <w:r w:rsidR="00923D08" w:rsidRPr="007B0B53">
        <w:rPr>
          <w:rFonts w:cs="Times New Roman"/>
          <w:spacing w:val="-5"/>
          <w:szCs w:val="24"/>
        </w:rPr>
        <w:t>Fachin</w:t>
      </w:r>
      <w:proofErr w:type="spellEnd"/>
      <w:r w:rsidR="00923D08" w:rsidRPr="007B0B53">
        <w:rPr>
          <w:rFonts w:cs="Times New Roman"/>
          <w:spacing w:val="-5"/>
          <w:szCs w:val="24"/>
        </w:rPr>
        <w:t xml:space="preserve"> observou que, apesar dos avanços decorrentes de normas editadas pelo governo estadual, são necessárias medidas complementares para reduzir a violação massiva de direitos fundamentais. </w:t>
      </w:r>
      <w:r w:rsidR="00923D08" w:rsidRPr="007B0B53">
        <w:rPr>
          <w:rFonts w:cs="Times New Roman"/>
          <w:szCs w:val="24"/>
        </w:rPr>
        <w:t>O Supremo Tribunal Federal (STF) retomou, nesta quarta-feira (5), o julgamento da Arguição de Descumprimento de Preceito Fundamental</w:t>
      </w:r>
      <w:r w:rsidR="00923D08" w:rsidRPr="007B0B53">
        <w:rPr>
          <w:rStyle w:val="Forte"/>
          <w:rFonts w:cs="Times New Roman"/>
          <w:szCs w:val="24"/>
        </w:rPr>
        <w:t> </w:t>
      </w:r>
      <w:r w:rsidR="00923D08" w:rsidRPr="007B0B53">
        <w:rPr>
          <w:rStyle w:val="Forte"/>
          <w:rFonts w:cs="Times New Roman"/>
          <w:b w:val="0"/>
          <w:szCs w:val="24"/>
        </w:rPr>
        <w:t>(ADPF) 635</w:t>
      </w:r>
      <w:r w:rsidR="00923D08" w:rsidRPr="007B0B53">
        <w:rPr>
          <w:rFonts w:cs="Times New Roman"/>
          <w:szCs w:val="24"/>
        </w:rPr>
        <w:t xml:space="preserve">, proposta para reduzir a letalidade policial no Estado do Rio de Janeiro. Após o voto do relator, ministro Edson </w:t>
      </w:r>
      <w:proofErr w:type="spellStart"/>
      <w:r w:rsidR="00923D08" w:rsidRPr="007B0B53">
        <w:rPr>
          <w:rFonts w:cs="Times New Roman"/>
          <w:szCs w:val="24"/>
        </w:rPr>
        <w:t>Fachin</w:t>
      </w:r>
      <w:proofErr w:type="spellEnd"/>
      <w:r w:rsidR="00923D08" w:rsidRPr="007B0B53">
        <w:rPr>
          <w:rFonts w:cs="Times New Roman"/>
          <w:szCs w:val="24"/>
        </w:rPr>
        <w:t xml:space="preserve">, propondo a homologação parcial do plano apresentado pelo Estado do Rio de Janeiro para reduzir a letalidade policial e sugerindo medidas para sua complementação, o julgamento foi suspenso. O presidente do STF, ministro Luís Roberto Barroso, ponderou que, em razão da profundidade do voto e da complexidade da questão, é necessário um prazo para que o colegiado busque a construção de consensos sobre os diversos pontos. </w:t>
      </w:r>
      <w:r w:rsidR="00923D08" w:rsidRPr="007B0B53">
        <w:rPr>
          <w:rStyle w:val="Forte"/>
          <w:rFonts w:cs="Times New Roman"/>
          <w:b w:val="0"/>
          <w:bCs w:val="0"/>
          <w:szCs w:val="24"/>
        </w:rPr>
        <w:t xml:space="preserve">Violação - </w:t>
      </w:r>
      <w:r w:rsidR="00923D08" w:rsidRPr="007B0B53">
        <w:rPr>
          <w:rFonts w:cs="Times New Roman"/>
          <w:szCs w:val="24"/>
        </w:rPr>
        <w:t>A ação foi apresentada em 2019 pelo Partido Socialista Brasileiro (PSB), alegando violação massiva de direitos fundamentais no estado, em razão da omissão estrutural do poder público em relação ao problema. Para o partido, há um quadro de grave violação generalizada de direitos humanos em razão do descumprimento da sentença da Corte Interamericana de Direitos Humanos (</w:t>
      </w:r>
      <w:proofErr w:type="spellStart"/>
      <w:r w:rsidR="00923D08" w:rsidRPr="007B0B53">
        <w:rPr>
          <w:rFonts w:cs="Times New Roman"/>
          <w:szCs w:val="24"/>
        </w:rPr>
        <w:t>CorteIDH</w:t>
      </w:r>
      <w:proofErr w:type="spellEnd"/>
      <w:r w:rsidR="00923D08" w:rsidRPr="007B0B53">
        <w:rPr>
          <w:rFonts w:cs="Times New Roman"/>
          <w:szCs w:val="24"/>
        </w:rPr>
        <w:t xml:space="preserve">) no caso Favela Nova Brasília. A decisão reconheceu omissão relevante e demora do Estado do Rio de Janeiro na elaboração de um plano para a redução da letalidade dos agentes de segurança. Decisões da </w:t>
      </w:r>
      <w:proofErr w:type="spellStart"/>
      <w:r w:rsidR="00923D08" w:rsidRPr="007B0B53">
        <w:rPr>
          <w:rFonts w:cs="Times New Roman"/>
          <w:szCs w:val="24"/>
        </w:rPr>
        <w:t>CorteIDH</w:t>
      </w:r>
      <w:proofErr w:type="spellEnd"/>
      <w:r w:rsidR="00923D08" w:rsidRPr="007B0B53">
        <w:rPr>
          <w:rFonts w:cs="Times New Roman"/>
          <w:szCs w:val="24"/>
        </w:rPr>
        <w:t xml:space="preserve"> são vinculantes para o Estado brasileiro, ou seja, representam uma obrigação. </w:t>
      </w:r>
      <w:r w:rsidR="00923D08" w:rsidRPr="007B0B53">
        <w:rPr>
          <w:rStyle w:val="Forte"/>
          <w:rFonts w:cs="Times New Roman"/>
          <w:b w:val="0"/>
          <w:bCs w:val="0"/>
          <w:szCs w:val="24"/>
        </w:rPr>
        <w:t xml:space="preserve">Complementação - </w:t>
      </w:r>
      <w:r w:rsidR="00923D08" w:rsidRPr="007B0B53">
        <w:rPr>
          <w:rFonts w:cs="Times New Roman"/>
          <w:szCs w:val="24"/>
        </w:rPr>
        <w:t xml:space="preserve">No voto apresentado nesta quarta, o ministro </w:t>
      </w:r>
      <w:proofErr w:type="spellStart"/>
      <w:r w:rsidR="00923D08" w:rsidRPr="007B0B53">
        <w:rPr>
          <w:rFonts w:cs="Times New Roman"/>
          <w:szCs w:val="24"/>
        </w:rPr>
        <w:t>Fachin</w:t>
      </w:r>
      <w:proofErr w:type="spellEnd"/>
      <w:r w:rsidR="00923D08" w:rsidRPr="007B0B53">
        <w:rPr>
          <w:rFonts w:cs="Times New Roman"/>
          <w:szCs w:val="24"/>
        </w:rPr>
        <w:t xml:space="preserve"> propôs a homologação parcial do plano apresentado pelo governo estadual. Ele observou que, apesar dos avanços obtidos a partir de diretrizes fixadas pelo Supremo em decisões cautelares proferidas na ADPF 635, algumas medidas ainda não foram totalmente implementadas. O relator constatou que, a partir de dezembro de 2023, foram editados diversos atos normativos, mas</w:t>
      </w:r>
      <w:r w:rsidR="00041EEE" w:rsidRPr="007B0B53">
        <w:rPr>
          <w:rFonts w:cs="Times New Roman"/>
          <w:szCs w:val="24"/>
        </w:rPr>
        <w:t xml:space="preserve"> </w:t>
      </w:r>
      <w:r w:rsidR="00923D08" w:rsidRPr="007B0B53">
        <w:rPr>
          <w:rFonts w:cs="Times New Roman"/>
          <w:szCs w:val="24"/>
        </w:rPr>
        <w:t xml:space="preserve">a superação efetiva das violações de direitos fundamentais (estado de coisas inconstitucional) demanda determinações complementares, a consolidação de medidas estruturais em andamento e um novo ciclo de acompanhamento e monitoramento com coordenação local. </w:t>
      </w:r>
      <w:r w:rsidR="00923D08" w:rsidRPr="007B0B53">
        <w:rPr>
          <w:rStyle w:val="Forte"/>
          <w:rFonts w:cs="Times New Roman"/>
          <w:b w:val="0"/>
          <w:bCs w:val="0"/>
          <w:szCs w:val="24"/>
        </w:rPr>
        <w:t xml:space="preserve">Independência - </w:t>
      </w:r>
      <w:r w:rsidR="00923D08" w:rsidRPr="007B0B53">
        <w:rPr>
          <w:rFonts w:cs="Times New Roman"/>
          <w:szCs w:val="24"/>
        </w:rPr>
        <w:t xml:space="preserve">No voto, o relator propõe a adoção de medidas para assegurar a independência das investigações sobre mortes (de civis e policiais) em ações e operações policiais e para aumentar a transparência dos dados sobre elas. Propõe, ainda, a criação de um comitê para acompanhar o cumprimento das medidas, com a participação do Ministério Público do Estado do Rio de Janeiro (MP-RJ), da Defensoria Pública do estado (DPE-RJ), do Conselho Nacional de Justiça (CNJ), do governo estadual, de representantes da sociedade civil e de especialistas em segurança pública. </w:t>
      </w:r>
      <w:r w:rsidR="00923D08" w:rsidRPr="007B0B53">
        <w:rPr>
          <w:rStyle w:val="Forte"/>
          <w:rFonts w:cs="Times New Roman"/>
          <w:b w:val="0"/>
          <w:bCs w:val="0"/>
          <w:szCs w:val="24"/>
        </w:rPr>
        <w:t xml:space="preserve">Escolha civilizatória - </w:t>
      </w:r>
      <w:proofErr w:type="spellStart"/>
      <w:r w:rsidR="00923D08" w:rsidRPr="007B0B53">
        <w:rPr>
          <w:rFonts w:cs="Times New Roman"/>
          <w:szCs w:val="24"/>
        </w:rPr>
        <w:t>Fachin</w:t>
      </w:r>
      <w:proofErr w:type="spellEnd"/>
      <w:r w:rsidR="00923D08" w:rsidRPr="007B0B53">
        <w:rPr>
          <w:rFonts w:cs="Times New Roman"/>
          <w:szCs w:val="24"/>
        </w:rPr>
        <w:t xml:space="preserve"> salientou que, por mais grave seja a situação da segurança pública no Rio de Janeiro ou em outro estado do país, as soluções devem se dar dentro das margens e limites do Estado de Direito. Além de ser uma imposição constitucional, “essa é uma escolha civilizatória”, observou. Ele enfatizou que as medidas propostas não representam enfraquecimento ou desprestígio da atividade policial. Ao contrário, demonstram preocupação com a garantia de direitos da população civil e também dos agentes das forças de segurança. </w:t>
      </w:r>
      <w:r w:rsidR="00923D08" w:rsidRPr="007B0B53">
        <w:rPr>
          <w:rStyle w:val="Forte"/>
          <w:rFonts w:cs="Times New Roman"/>
          <w:b w:val="0"/>
          <w:bCs w:val="0"/>
          <w:szCs w:val="24"/>
        </w:rPr>
        <w:t xml:space="preserve">Aumento de operações - </w:t>
      </w:r>
      <w:r w:rsidR="00923D08" w:rsidRPr="007B0B53">
        <w:rPr>
          <w:rFonts w:cs="Times New Roman"/>
          <w:szCs w:val="24"/>
        </w:rPr>
        <w:t xml:space="preserve">Segundo </w:t>
      </w:r>
      <w:proofErr w:type="spellStart"/>
      <w:r w:rsidR="00923D08" w:rsidRPr="007B0B53">
        <w:rPr>
          <w:rFonts w:cs="Times New Roman"/>
          <w:szCs w:val="24"/>
        </w:rPr>
        <w:t>Fachin</w:t>
      </w:r>
      <w:proofErr w:type="spellEnd"/>
      <w:r w:rsidR="00923D08" w:rsidRPr="007B0B53">
        <w:rPr>
          <w:rFonts w:cs="Times New Roman"/>
          <w:szCs w:val="24"/>
        </w:rPr>
        <w:t xml:space="preserve">, dados públicos indicam que, apesar do grande número de operações realizadas entre 2019 e 2023, houve uma redução de 52% nas mortes decorrentes de intervenção policial, inclusive do número de policiais mortos em serviço. Segundo o MP-RJ, o número de operações policiais aumentou, com registro oficial de 457 somente no primeiro quadrimestre de 2024. Esse dado derruba insinuações de que as restrições impostas pelo Supremo estariam impedindo o trabalho adequado das </w:t>
      </w:r>
      <w:r w:rsidR="00923D08" w:rsidRPr="007B0B53">
        <w:rPr>
          <w:rFonts w:cs="Times New Roman"/>
          <w:szCs w:val="24"/>
        </w:rPr>
        <w:lastRenderedPageBreak/>
        <w:t xml:space="preserve">forças policiais e fortalecendo organizações criminosas. </w:t>
      </w:r>
      <w:r w:rsidR="00923D08" w:rsidRPr="007B0B53">
        <w:rPr>
          <w:rStyle w:val="Forte"/>
          <w:rFonts w:cs="Times New Roman"/>
          <w:b w:val="0"/>
          <w:bCs w:val="0"/>
          <w:szCs w:val="24"/>
        </w:rPr>
        <w:t xml:space="preserve">Redução da criminalidade - </w:t>
      </w:r>
      <w:r w:rsidR="00923D08" w:rsidRPr="007B0B53">
        <w:rPr>
          <w:rFonts w:cs="Times New Roman"/>
          <w:szCs w:val="24"/>
        </w:rPr>
        <w:t xml:space="preserve">As estatísticas também mostram a queda dos índices oficiais de crimes que resultaram em mortes (18,4%), roubos de veículo (44%), roubos de rua (57,2%), roubos a transeuntes (60,9%), roubos a coletivos (64,3%), roubos de celular (42,2%) e roubos de carga (56,8%). Dados referentes a 2024 apontam que o índice de homicídios dolosos foi o menor da série histórica, desde 1991, com redução de 11% em relação a 2023, e que as mortes decorrentes de intervenção policial mantiveram a tendência de queda, com redução de 20%. Em relação ao número de roubos, houve aumento, mas fortemente concentrado no mês de dezembro. Para o ministro, os números evidenciam que a adoção de parâmetros de transparência e controle na atividade policial possibilitam o exercício das funções de segurança pública de forma competente e sem elevação de índices de criminalidade. </w:t>
      </w:r>
      <w:r w:rsidR="00923D08" w:rsidRPr="007B0B53">
        <w:rPr>
          <w:rStyle w:val="Forte"/>
          <w:rFonts w:cs="Times New Roman"/>
          <w:b w:val="0"/>
          <w:bCs w:val="0"/>
          <w:szCs w:val="24"/>
        </w:rPr>
        <w:t xml:space="preserve">Problemas crônicos - </w:t>
      </w:r>
      <w:r w:rsidR="00923D08" w:rsidRPr="007B0B53">
        <w:rPr>
          <w:rFonts w:cs="Times New Roman"/>
          <w:szCs w:val="24"/>
        </w:rPr>
        <w:t xml:space="preserve">No voto, o ministro reconheceu a gravidade da situação da segurança pública do Rio de Janeiro, especialmente em razão do controle do território por organizações criminosas, da presença de foragidos de outros estados sob proteção armada e da circulação ilegal de fuzis e armamento pesado. Observou, contudo, que são problemas crônicos, relacionados com dinâmicas da criminalidade organizada em âmbito nacional, sem relação com decisões do STF. </w:t>
      </w:r>
      <w:proofErr w:type="spellStart"/>
      <w:r w:rsidR="00923D08" w:rsidRPr="007B0B53">
        <w:rPr>
          <w:rFonts w:cs="Times New Roman"/>
          <w:szCs w:val="24"/>
        </w:rPr>
        <w:t>Fachin</w:t>
      </w:r>
      <w:proofErr w:type="spellEnd"/>
      <w:r w:rsidR="00923D08" w:rsidRPr="007B0B53">
        <w:rPr>
          <w:rFonts w:cs="Times New Roman"/>
          <w:szCs w:val="24"/>
        </w:rPr>
        <w:t xml:space="preserve"> refutou alegações do governo estadual de que as medidas cautelares emitidas na ADPF 635 teriam tido como consequências práticas a “migração de criminosos nacionais e estrangeiros para o Rio de Janeiro” ou a “criação de entrepostos invioláveis para a comercialização de armas e drogas nas comunidades do Rio de Janeiro”. Segundo o ministro, essa alegação não tem respaldo fático e histórico. Ele destacou que, desde meados de 2016, há um conflito violento entre duas grandes organizações criminosas fortemente armadas, que buscam se expandir para além de suas sedes, em São Paulo e Rio de Janeiro, visando ao domínio territorial e à adesão de outras organizações criminosas por todo o território nacional, sobretudo nas regiões Norte e Centro-Oeste. Essas dinâmicas, explicou, impulsionam a circulação de foragidos de outros estados por todo o país. Segundo ele, a presença de foragidos no Rio de Janeiro decorre do conflito, e não de uma suposta proteção propiciada pelas decisões na ADPF 635. </w:t>
      </w:r>
      <w:r w:rsidR="00923D08" w:rsidRPr="007B0B53">
        <w:rPr>
          <w:rStyle w:val="Forte"/>
          <w:rFonts w:cs="Times New Roman"/>
          <w:b w:val="0"/>
          <w:bCs w:val="0"/>
          <w:szCs w:val="24"/>
        </w:rPr>
        <w:t xml:space="preserve">Transparência - </w:t>
      </w:r>
      <w:r w:rsidR="00923D08" w:rsidRPr="007B0B53">
        <w:rPr>
          <w:rFonts w:cs="Times New Roman"/>
          <w:szCs w:val="24"/>
        </w:rPr>
        <w:t xml:space="preserve">Para assegurar a transparência e embasar a adoção de providências para continuar a redução da letalidade, o ministro propõe que o governo estadual passe a divulgar dados sobre uso excessivo da força ou abusivo da força legal e de civis vitimados em confronto armado com a participação de forças de segurança em que autoria do disparo seja indeterminada. O estado também deverá divulgar dados desagregados sobre as ocorrências com morte de civil ou de policial, especificando a corporação envolvida (se polícia civil ou militar), qual unidade ou batalhão, se o agente envolvido estava em serviço e se o fato ocorreu no contexto de operação policial. Nas ocorrências com morte de policial, deverá ser especificado se a vítima estava em serviço. Sempre que houver suspeita de envolvimento de agentes dos órgãos de segurança pública na prática de crimes, a investigação será atribuição do Ministério Público. Caso se trate de crime intencional (doloso) contra a vida, a apuração ocorrerá no âmbito da Justiça comum. </w:t>
      </w:r>
      <w:r w:rsidR="00923D08" w:rsidRPr="007B0B53">
        <w:rPr>
          <w:rStyle w:val="Forte"/>
          <w:rFonts w:cs="Times New Roman"/>
          <w:b w:val="0"/>
          <w:bCs w:val="0"/>
          <w:szCs w:val="24"/>
        </w:rPr>
        <w:t xml:space="preserve">Afastamento temporário - </w:t>
      </w:r>
      <w:r w:rsidR="00923D08" w:rsidRPr="007B0B53">
        <w:rPr>
          <w:rFonts w:cs="Times New Roman"/>
          <w:szCs w:val="24"/>
        </w:rPr>
        <w:t xml:space="preserve">O ministro citou um estudo da Universidade Federal Fluminense que indica concentração da letalidade policial no Rio de Janeiro, tanto do ponto de vista funcional como territorial. Nesse sentido, ele dá prazo de 180 dias para que o governo estadual regulamente a aferição da incidência de letalidade desproporcional na atuação policial, modulando aspectos como o tipo de policiamento exercido e a área de atuação. As regras deverão prever o afastamento preventivo das atividades de policiamento ostensivo para os agentes que se envolvam em mais de uma ocorrência com morte no período de um ano. Ele explicou que esse afastamento é temporário, sem necessariamente consequências disciplinares, que devem ser eventualmente apuradas em investigação específica, caso necessário. </w:t>
      </w:r>
      <w:r w:rsidR="00923D08" w:rsidRPr="007B0B53">
        <w:rPr>
          <w:rStyle w:val="Forte"/>
          <w:rFonts w:cs="Times New Roman"/>
          <w:b w:val="0"/>
          <w:bCs w:val="0"/>
          <w:szCs w:val="24"/>
        </w:rPr>
        <w:t xml:space="preserve">Câmeras corporais - </w:t>
      </w:r>
      <w:r w:rsidR="00923D08" w:rsidRPr="007B0B53">
        <w:rPr>
          <w:rFonts w:cs="Times New Roman"/>
          <w:szCs w:val="24"/>
        </w:rPr>
        <w:t xml:space="preserve">O ministro propõe um prazo de 120 dias para que seja comprovada a implantação de câmaras corporais na Polícia Civil, mas atendeu a um pedido do governo estadual para que os agentes da corporação as utilizem apenas nas ações ostensivas, inclusive em operações policiais planejadas, e em atividades ou diligências externas. Para compatibilizar a determinação com a situação financeira do estado, caso não haja equipamentos para todos os agentes, as câmeras devem ser destinadas, prioritariamente, para as forças especiais e unidades ou batalhões que tenham os maiores índices de letalidade. Também levando em consideração a situação fiscal do estado, </w:t>
      </w:r>
      <w:proofErr w:type="spellStart"/>
      <w:r w:rsidR="00923D08" w:rsidRPr="007B0B53">
        <w:rPr>
          <w:rFonts w:cs="Times New Roman"/>
          <w:szCs w:val="24"/>
        </w:rPr>
        <w:t>Fachin</w:t>
      </w:r>
      <w:proofErr w:type="spellEnd"/>
      <w:r w:rsidR="00923D08" w:rsidRPr="007B0B53">
        <w:rPr>
          <w:rFonts w:cs="Times New Roman"/>
          <w:szCs w:val="24"/>
        </w:rPr>
        <w:t xml:space="preserve"> considera necessário autorizar a continuidade de repasses do Fundo Nacional de Segurança Pública (FNSP) nos contratos antigos, que previam o armazenamento das imagens por 60 dias. Segundo as regras do Ministério da Justiça e da Segurança Pública, para viabilizar os repasses, as imagens devem ser preservadas por pelo menos 90 dias. A medida vale apenas para contratos em vigência até a conclusão do julgamento. </w:t>
      </w:r>
      <w:r w:rsidR="00923D08" w:rsidRPr="007B0B53">
        <w:rPr>
          <w:rStyle w:val="Forte"/>
          <w:rFonts w:cs="Times New Roman"/>
          <w:b w:val="0"/>
          <w:bCs w:val="0"/>
          <w:szCs w:val="24"/>
        </w:rPr>
        <w:t xml:space="preserve">Perícia - </w:t>
      </w:r>
      <w:r w:rsidR="00923D08" w:rsidRPr="007B0B53">
        <w:rPr>
          <w:rFonts w:cs="Times New Roman"/>
          <w:szCs w:val="24"/>
        </w:rPr>
        <w:t xml:space="preserve">Para assegurar a independência das investigações, o voto proíbe a atuação de peritos vinculados à Polícia Civil nas investigações em que haja suspeita de mortes </w:t>
      </w:r>
      <w:r w:rsidR="00923D08" w:rsidRPr="007B0B53">
        <w:rPr>
          <w:rFonts w:cs="Times New Roman"/>
          <w:szCs w:val="24"/>
        </w:rPr>
        <w:lastRenderedPageBreak/>
        <w:t xml:space="preserve">intencionais em ações ou operações da corporação. Nestes casos, o MP-RJ deverá tomar as providências cabíveis para viabilizar a perícia científica com outros profissionais, inclusive por meio de convênio com a União (Polícia Federal), ou requisitando a realização de perícia técnica. Se o MP-RJ indicar que não tem a estrutura necessária para a realização da perícia em algum caso específico, excepcionalmente, para evitar a paralisação da investigação, fica autorizado o prosseguimento com a realização da análise por peritos da Polícia Civil. </w:t>
      </w:r>
      <w:proofErr w:type="spellStart"/>
      <w:r w:rsidR="00923D08" w:rsidRPr="007B0B53">
        <w:rPr>
          <w:rFonts w:cs="Times New Roman"/>
          <w:szCs w:val="24"/>
        </w:rPr>
        <w:t>Fachin</w:t>
      </w:r>
      <w:proofErr w:type="spellEnd"/>
      <w:r w:rsidR="00923D08" w:rsidRPr="007B0B53">
        <w:rPr>
          <w:rFonts w:cs="Times New Roman"/>
          <w:szCs w:val="24"/>
        </w:rPr>
        <w:t xml:space="preserve"> rejeitou o pedido formulado na ação para desvincular a Superintendência-Geral de Polícia Técnico-Científica do estado da estrutura da Polícia Civil. Segundo ele, não é possível impor, por decisão judicial, uma reforma na organização político-administrativa do governo estadual. Contudo, ele declara a inconstitucionalidade do dispositivo que atribui a chefia da Polícia Técnico-Científica a um delegado. Ele explicou que essa subordinação retira a autonomia técnica, científica e funcional da perícia, já reconhecida em diversos precedentes do STF. </w:t>
      </w:r>
      <w:r w:rsidR="00923D08" w:rsidRPr="007B0B53">
        <w:rPr>
          <w:rStyle w:val="Forte"/>
          <w:rFonts w:cs="Times New Roman"/>
          <w:b w:val="0"/>
          <w:bCs w:val="0"/>
          <w:szCs w:val="24"/>
        </w:rPr>
        <w:t xml:space="preserve">Comitê de acompanhamento - </w:t>
      </w:r>
      <w:r w:rsidR="00923D08" w:rsidRPr="007B0B53">
        <w:rPr>
          <w:rFonts w:cs="Times New Roman"/>
          <w:szCs w:val="24"/>
        </w:rPr>
        <w:t>O relator também determina a criação de um comitê para acompanhar o cumprimento da decisão do Supremo e, em conjunto com o governo estadual, apoiar sua implementação. O comitê terá a coordenação do MP-RJ, com a participação da Defensoria Pública, da Secretaria de Segurança Pública, da Procuradoria do Estado do Rio de Janeiro, do Conselho Nacional de Justiça e do Conselho Nacional do Ministério Público, além de representantes da sociedade civil e especialistas na área de gestão e políticas públicas. Apesar de sua natureza consultiva, se houver o descumprimento da decisão, o comitê comunicará o fato ao CNJ, para análise de eventuais providências, e ao MP-RJ, para apuração de eventual responsabilidade administrativa e criminal. Segundo a proposta, o período inicial de monitoramento seria de quatro anos, e a condição para o encerramento dos trabalhos seria a constatação de que os “indicadores de violência desproporcional” estejam em níveis aceitáveis.</w:t>
      </w:r>
    </w:p>
    <w:p w:rsidR="001F77F9" w:rsidRPr="007B0B53" w:rsidRDefault="00923D08" w:rsidP="006F3227">
      <w:pPr>
        <w:spacing w:before="240"/>
        <w:rPr>
          <w:rFonts w:cs="Times New Roman"/>
          <w:szCs w:val="24"/>
        </w:rPr>
      </w:pPr>
      <w:r w:rsidRPr="007B0B53">
        <w:rPr>
          <w:rFonts w:cs="Times New Roman"/>
          <w:szCs w:val="24"/>
        </w:rPr>
        <w:t xml:space="preserve">STF </w:t>
      </w:r>
      <w:r w:rsidR="001F77F9" w:rsidRPr="007B0B53">
        <w:rPr>
          <w:rFonts w:cs="Times New Roman"/>
          <w:szCs w:val="24"/>
        </w:rPr>
        <w:t>(RE 1366243-ED-sextos, in Informativo</w:t>
      </w:r>
      <w:r w:rsidR="009D480F" w:rsidRPr="007B0B53">
        <w:rPr>
          <w:rFonts w:cs="Times New Roman"/>
          <w:szCs w:val="24"/>
        </w:rPr>
        <w:t>s de</w:t>
      </w:r>
      <w:r w:rsidR="001F77F9" w:rsidRPr="007B0B53">
        <w:rPr>
          <w:rFonts w:cs="Times New Roman"/>
          <w:szCs w:val="24"/>
        </w:rPr>
        <w:t xml:space="preserve"> Repercussão Geral 319</w:t>
      </w:r>
      <w:r w:rsidR="009D480F" w:rsidRPr="007B0B53">
        <w:rPr>
          <w:rFonts w:cs="Times New Roman"/>
          <w:szCs w:val="24"/>
        </w:rPr>
        <w:t xml:space="preserve"> e 320</w:t>
      </w:r>
      <w:r w:rsidR="001F77F9" w:rsidRPr="007B0B53">
        <w:rPr>
          <w:rFonts w:cs="Times New Roman"/>
          <w:szCs w:val="24"/>
        </w:rPr>
        <w:t xml:space="preserve">) Tema 1234 – Repercussão Geral - Título: Legitimidade passiva da União e competência da Justiça Federal, nas demandas que versem sobre fornecimento de medicamentos registrados na Agência Nacional de Vigilância Sanitária - ANVISA, mas não padronizados no Sistema Único de Saúde – SUS. Decisão: O Tribunal, por unanimidade, 1) não conheceu dos embargos opostos pelos </w:t>
      </w:r>
      <w:proofErr w:type="spellStart"/>
      <w:r w:rsidR="001F77F9" w:rsidRPr="007B0B53">
        <w:rPr>
          <w:rFonts w:cs="Times New Roman"/>
          <w:szCs w:val="24"/>
        </w:rPr>
        <w:t>amici</w:t>
      </w:r>
      <w:proofErr w:type="spellEnd"/>
      <w:r w:rsidR="001F77F9" w:rsidRPr="007B0B53">
        <w:rPr>
          <w:rFonts w:cs="Times New Roman"/>
          <w:szCs w:val="24"/>
        </w:rPr>
        <w:t xml:space="preserve"> </w:t>
      </w:r>
      <w:proofErr w:type="spellStart"/>
      <w:r w:rsidR="001F77F9" w:rsidRPr="007B0B53">
        <w:rPr>
          <w:rFonts w:cs="Times New Roman"/>
          <w:szCs w:val="24"/>
        </w:rPr>
        <w:t>curiae</w:t>
      </w:r>
      <w:proofErr w:type="spellEnd"/>
      <w:r w:rsidR="001F77F9" w:rsidRPr="007B0B53">
        <w:rPr>
          <w:rFonts w:cs="Times New Roman"/>
          <w:szCs w:val="24"/>
        </w:rPr>
        <w:t xml:space="preserve"> e por Vinícius Aluísio de Moraes, como assistente, por ausência dos requisitos legais; 2) rejeitou os embargos de declaração opostos pelo Estado de Santa Catarina, mas os acolheu a título de esclarecimentos e sem efeitos modificativos para constar do item 1, referente à Competência, a seguinte redação: 1) Para fins de fixação de competência, as demandas relativas a medicamentos não incorporados na política pública do SUS e medicamentos oncológicos, ambos com registro na ANVISA, tramitarão perante a Justiça Federal, nos termos do art. 109, I, da Constituição Federal, quando o valor do tratamento anual específico do fármaco ou do princípio ativo, com base no Preço Máximo de Venda do Governo (PMVG situado na alíquota zero), divulgado pela Câmara de Regulação do Mercado de Medicamentos (CMED - Lei 10.742/2003), for igual ou superior ao valor de 210 salários mínimos, na forma do art. 292 do CPC; e 3) acolheu parcialmente os embargos opostos pela União, tão somente quanto à modulação dos efeitos da decisão no que se refere à competência, para abarcar também os medicamentos incorporados, devendo ser suprimido do Capítulo 5 do voto condutor do acórdão embargado a remissão ao "item 1 do acordo firmado na Comissão Especial", por referir-se unicamente aos medicamentos não incorporados. Consequentemente, os efeitos do tema 1234, quanto à competência, somente se aplicam às ações que forem ajuizadas após a publicação do resultado do julgamento de mérito no Diário de Justiça Eletrônico, afastando sua incidência sobre os processos em tramitação até o referido marco, sem possibilidade de suscitação de conflito negativo de competência a respeito dos processos anteriores ao referido marco jurídico. Tudo nos termos do voto do Relator. O Ministro Luiz </w:t>
      </w:r>
      <w:proofErr w:type="spellStart"/>
      <w:r w:rsidR="001F77F9" w:rsidRPr="007B0B53">
        <w:rPr>
          <w:rFonts w:cs="Times New Roman"/>
          <w:szCs w:val="24"/>
        </w:rPr>
        <w:t>Fux</w:t>
      </w:r>
      <w:proofErr w:type="spellEnd"/>
      <w:r w:rsidR="001F77F9" w:rsidRPr="007B0B53">
        <w:rPr>
          <w:rFonts w:cs="Times New Roman"/>
          <w:szCs w:val="24"/>
        </w:rPr>
        <w:t xml:space="preserve"> acompanhou o Relator com ressalvas.</w:t>
      </w:r>
    </w:p>
    <w:p w:rsidR="006F3227" w:rsidRPr="007B0B53" w:rsidRDefault="00850211" w:rsidP="006F3227">
      <w:pPr>
        <w:spacing w:before="240"/>
        <w:rPr>
          <w:rFonts w:cs="Times New Roman"/>
          <w:szCs w:val="24"/>
        </w:rPr>
      </w:pPr>
      <w:r w:rsidRPr="007B0B53">
        <w:rPr>
          <w:rFonts w:cs="Times New Roman"/>
          <w:szCs w:val="24"/>
        </w:rPr>
        <w:t>STF</w:t>
      </w:r>
      <w:r w:rsidR="006F3227" w:rsidRPr="007B0B53">
        <w:rPr>
          <w:rFonts w:cs="Times New Roman"/>
          <w:szCs w:val="24"/>
        </w:rPr>
        <w:t xml:space="preserve"> (ADPF 1207</w:t>
      </w:r>
      <w:r w:rsidR="006F3227" w:rsidRPr="007B0B53">
        <w:rPr>
          <w:rStyle w:val="Forte"/>
          <w:rFonts w:cs="Times New Roman"/>
          <w:b w:val="0"/>
          <w:szCs w:val="24"/>
        </w:rPr>
        <w:t xml:space="preserve">, </w:t>
      </w:r>
      <w:r w:rsidR="006F3227" w:rsidRPr="007B0B53">
        <w:rPr>
          <w:rFonts w:cs="Times New Roman"/>
          <w:szCs w:val="24"/>
        </w:rPr>
        <w:t xml:space="preserve">in Notícias STF 04.02.2025) Ação pede para STF reconhecer que enfermeiros podem conduzir procedimento de aborto legal - </w:t>
      </w:r>
      <w:proofErr w:type="spellStart"/>
      <w:r w:rsidR="006F3227" w:rsidRPr="007B0B53">
        <w:rPr>
          <w:rFonts w:cs="Times New Roman"/>
          <w:spacing w:val="-5"/>
          <w:szCs w:val="24"/>
        </w:rPr>
        <w:t>Psol</w:t>
      </w:r>
      <w:proofErr w:type="spellEnd"/>
      <w:r w:rsidR="006F3227" w:rsidRPr="007B0B53">
        <w:rPr>
          <w:rFonts w:cs="Times New Roman"/>
          <w:spacing w:val="-5"/>
          <w:szCs w:val="24"/>
        </w:rPr>
        <w:t xml:space="preserve"> e Associação Brasileira de Enfermagem questionam exclusividade de profissionais de medicina na realização do procedimento - </w:t>
      </w:r>
      <w:r w:rsidR="006F3227" w:rsidRPr="007B0B53">
        <w:rPr>
          <w:rFonts w:cs="Times New Roman"/>
          <w:szCs w:val="24"/>
        </w:rPr>
        <w:t xml:space="preserve">O Partido Socialismo e </w:t>
      </w:r>
      <w:proofErr w:type="spellStart"/>
      <w:r w:rsidR="006F3227" w:rsidRPr="007B0B53">
        <w:rPr>
          <w:rFonts w:cs="Times New Roman"/>
          <w:szCs w:val="24"/>
        </w:rPr>
        <w:t>Liberdde</w:t>
      </w:r>
      <w:proofErr w:type="spellEnd"/>
      <w:r w:rsidR="006F3227" w:rsidRPr="007B0B53">
        <w:rPr>
          <w:rFonts w:cs="Times New Roman"/>
          <w:szCs w:val="24"/>
        </w:rPr>
        <w:t xml:space="preserve"> (PSOL) e a Associação Brasileira de Enfermagem (</w:t>
      </w:r>
      <w:proofErr w:type="spellStart"/>
      <w:r w:rsidR="006F3227" w:rsidRPr="007B0B53">
        <w:rPr>
          <w:rFonts w:cs="Times New Roman"/>
          <w:szCs w:val="24"/>
        </w:rPr>
        <w:t>Aben</w:t>
      </w:r>
      <w:proofErr w:type="spellEnd"/>
      <w:r w:rsidR="006F3227" w:rsidRPr="007B0B53">
        <w:rPr>
          <w:rFonts w:cs="Times New Roman"/>
          <w:szCs w:val="24"/>
        </w:rPr>
        <w:t>) pediram para o Supremo Tribunal Federal (STF) reconhecer a possibilidade de outros profissionais de saúde, como enfermeiros, realizarem o procedimento de aborto legal. O pedido é pela derrubada da interpretação que limita o procedimento a profissionais de medicina. A demanda foi apresentada na Arguição de Descumprimento de Preceito Fundamental </w:t>
      </w:r>
      <w:r w:rsidR="006F3227" w:rsidRPr="007B0B53">
        <w:rPr>
          <w:rStyle w:val="Forte"/>
          <w:rFonts w:cs="Times New Roman"/>
          <w:b w:val="0"/>
          <w:szCs w:val="24"/>
        </w:rPr>
        <w:t>(ADPF) 1207</w:t>
      </w:r>
      <w:r w:rsidR="006F3227" w:rsidRPr="007B0B53">
        <w:rPr>
          <w:rFonts w:cs="Times New Roman"/>
          <w:szCs w:val="24"/>
        </w:rPr>
        <w:t xml:space="preserve">, distribuída ao ministro Edson </w:t>
      </w:r>
      <w:proofErr w:type="spellStart"/>
      <w:r w:rsidR="006F3227" w:rsidRPr="007B0B53">
        <w:rPr>
          <w:rFonts w:cs="Times New Roman"/>
          <w:szCs w:val="24"/>
        </w:rPr>
        <w:t>Fachin</w:t>
      </w:r>
      <w:proofErr w:type="spellEnd"/>
      <w:r w:rsidR="006F3227" w:rsidRPr="007B0B53">
        <w:rPr>
          <w:rFonts w:cs="Times New Roman"/>
          <w:szCs w:val="24"/>
        </w:rPr>
        <w:t xml:space="preserve">, que já relata outra ação pedindo que o STF garanta possibilidade de aborto nas hipóteses previstas em lei. No Brasil, comete crime tanto a mulher </w:t>
      </w:r>
      <w:r w:rsidR="006F3227" w:rsidRPr="007B0B53">
        <w:rPr>
          <w:rFonts w:cs="Times New Roman"/>
          <w:szCs w:val="24"/>
        </w:rPr>
        <w:lastRenderedPageBreak/>
        <w:t xml:space="preserve">que faz aborto quanto quem provoca o aborto em gestante. O Código Penal estabelece exceções para o médico que praticar o aborto quando não há outra forma de salvar a vida da gestante ou se a gravidez é resultado de estupro. Em 2012, o Plenário do STF descriminalizou também a interrupção da gravidez de feto com anencefalia (ADPF 54). Segundo os autores da ação, a interpretação literal do Código Penal de que só o médico pode fazer o aborto legal leva a uma situação de violação de direitos. O partido e a entidade argumentam que essa restrição exclui outros profissionais de saúde que também são habilitados a realizar o procedimento, conforme a Organização Mundial de Saúde (OMS). PSOL e </w:t>
      </w:r>
      <w:proofErr w:type="spellStart"/>
      <w:r w:rsidR="006F3227" w:rsidRPr="007B0B53">
        <w:rPr>
          <w:rFonts w:cs="Times New Roman"/>
          <w:szCs w:val="24"/>
        </w:rPr>
        <w:t>Aben</w:t>
      </w:r>
      <w:proofErr w:type="spellEnd"/>
      <w:r w:rsidR="006F3227" w:rsidRPr="007B0B53">
        <w:rPr>
          <w:rFonts w:cs="Times New Roman"/>
          <w:szCs w:val="24"/>
        </w:rPr>
        <w:t xml:space="preserve"> alegam que o aborto deixou de ser restrito à prática médica, pois é um procedimento de baixa complexidade, possível de ser realizado nas unidades de atenção primária em saúde por profissionais capacitados e por métodos eficazes e seguros, ou mesmo pela própria mulher. A providência seria uma forma de eliminar um dos principais obstáculos à realização do aborto legal no país. Também afirmam que o enquadramento do aborto como um procedimento complexo que precisa ser realizado por profissionais da medicina faz com que os fluxos de atendimento desses casos não sejam ágeis o suficiente para atender meninas vulneráveis.</w:t>
      </w:r>
    </w:p>
    <w:p w:rsidR="006F3227" w:rsidRPr="007B0B53" w:rsidRDefault="006F3227" w:rsidP="006F3227">
      <w:pPr>
        <w:spacing w:before="240"/>
        <w:rPr>
          <w:rFonts w:cs="Times New Roman"/>
          <w:szCs w:val="24"/>
        </w:rPr>
      </w:pPr>
      <w:r w:rsidRPr="007B0B53">
        <w:rPr>
          <w:rFonts w:cs="Times New Roman"/>
          <w:szCs w:val="24"/>
        </w:rPr>
        <w:t>STF (ADPF 635</w:t>
      </w:r>
      <w:r w:rsidRPr="007B0B53">
        <w:rPr>
          <w:rStyle w:val="Forte"/>
          <w:rFonts w:cs="Times New Roman"/>
          <w:b w:val="0"/>
          <w:szCs w:val="24"/>
        </w:rPr>
        <w:t xml:space="preserve">, </w:t>
      </w:r>
      <w:r w:rsidRPr="007B0B53">
        <w:rPr>
          <w:rFonts w:cs="Times New Roman"/>
          <w:szCs w:val="24"/>
        </w:rPr>
        <w:t xml:space="preserve">in Notícias STF 04.02.2025) Entenda: STF retoma nesta quarta (5) julgamento de ação sobre letalidade das operações policiais no RJ - </w:t>
      </w:r>
      <w:r w:rsidRPr="007B0B53">
        <w:rPr>
          <w:rFonts w:cs="Times New Roman"/>
          <w:spacing w:val="-5"/>
          <w:szCs w:val="24"/>
        </w:rPr>
        <w:t xml:space="preserve">Julgamento começou em novembro de 2024, quando foram ouvidos os argumentos das partes e dos terceiros interessados. </w:t>
      </w:r>
      <w:r w:rsidRPr="007B0B53">
        <w:rPr>
          <w:rFonts w:cs="Times New Roman"/>
          <w:szCs w:val="24"/>
        </w:rPr>
        <w:t xml:space="preserve">O Supremo Tribunal Federal (STF) retoma, nesta quarta-feira (5), o julgamento de mérito da Arguição de Descumprimento de Preceito Fundamental (ADPF) 635, que trata da adoção de um plano para reduzir a quantidade de mortes resultantes das operações policiais no Estado do Rio de Janeiro. Na ação, o Partido Socialista Brasileiro (PSB) afirma que a política de segurança pública local, “em vez de buscar prevenir mortes e conflitos armados, incentiva a letalidade da atuação dos órgãos policiais”. O julgamento começou em novembro de 2024, com apresentação do resumo do caso (relatório) pelo ministro Edson </w:t>
      </w:r>
      <w:proofErr w:type="spellStart"/>
      <w:r w:rsidRPr="007B0B53">
        <w:rPr>
          <w:rFonts w:cs="Times New Roman"/>
          <w:szCs w:val="24"/>
        </w:rPr>
        <w:t>Fachin</w:t>
      </w:r>
      <w:proofErr w:type="spellEnd"/>
      <w:r w:rsidRPr="007B0B53">
        <w:rPr>
          <w:rFonts w:cs="Times New Roman"/>
          <w:szCs w:val="24"/>
        </w:rPr>
        <w:t xml:space="preserve"> (relator) e dos argumentos das partes e de órgãos, instituições e entidades da sociedade civil admitidos no processo. Como se trata de uma questão complexa, após as exposições o julgamento foi suspenso para a apresentação dos votos em data a ser definida posteriormente. Essa sistemática, implementada pelo presidente do STF, ministro Luís Roberto Barroso, permite que os integrantes do Tribunal tenham mais tempo para refletir sobre o tema. O Supremo irá se manifestar sobre as alegações do PSB de que a política de segurança pública do Rio de Janeiro viola princípios constitucionais como o da dignidade da pessoa humana e os direitos fundamentais à vida, à igualdade, à segurança, à inviolabilidade do domicílio e à absoluta prioridade na garantia dos direitos fundamentais de crianças e adolescentes. O autor da ação aponta um quadro de grave violação generalizada de direitos humanos, materializado em razão do descumprimento da sentença da Corte Interamericana de Direitos Humanos (</w:t>
      </w:r>
      <w:proofErr w:type="spellStart"/>
      <w:r w:rsidRPr="007B0B53">
        <w:rPr>
          <w:rFonts w:cs="Times New Roman"/>
          <w:szCs w:val="24"/>
        </w:rPr>
        <w:t>CorteIDH</w:t>
      </w:r>
      <w:proofErr w:type="spellEnd"/>
      <w:r w:rsidRPr="007B0B53">
        <w:rPr>
          <w:rFonts w:cs="Times New Roman"/>
          <w:szCs w:val="24"/>
        </w:rPr>
        <w:t xml:space="preserve">) no caso Favela Nova Brasília, que reconheceu omissão relevante e demora do Estado do Rio de Janeiro na elaboração de um plano para a redução da letalidade dos agentes de segurança. As decisões da </w:t>
      </w:r>
      <w:proofErr w:type="spellStart"/>
      <w:r w:rsidRPr="007B0B53">
        <w:rPr>
          <w:rFonts w:cs="Times New Roman"/>
          <w:szCs w:val="24"/>
        </w:rPr>
        <w:t>CorteIDH</w:t>
      </w:r>
      <w:proofErr w:type="spellEnd"/>
      <w:r w:rsidRPr="007B0B53">
        <w:rPr>
          <w:rFonts w:cs="Times New Roman"/>
          <w:szCs w:val="24"/>
        </w:rPr>
        <w:t xml:space="preserve"> são vinculantes para o Estado brasileiro. Desde que a ação foi apresentada, em 2019, o STF fez diversas determinações em decisões liminares, inclusive para que governo estadual elaborasse um plano para reduzir a letalidade policial. A partir do voto do relator, o Plenário irá decidir se homologa o plano ou se é necessário adotar outras medidas para compatibilizar a política de segurança do Rio de Janeiro com as regras constitucionais. </w:t>
      </w:r>
      <w:r w:rsidRPr="007B0B53">
        <w:rPr>
          <w:rStyle w:val="Forte"/>
          <w:rFonts w:cs="Times New Roman"/>
          <w:b w:val="0"/>
          <w:bCs w:val="0"/>
          <w:szCs w:val="24"/>
        </w:rPr>
        <w:t xml:space="preserve">Pandemia - </w:t>
      </w:r>
      <w:r w:rsidRPr="007B0B53">
        <w:rPr>
          <w:rFonts w:cs="Times New Roman"/>
          <w:szCs w:val="24"/>
        </w:rPr>
        <w:t xml:space="preserve">Na primeira liminar, em junho de 2020, </w:t>
      </w:r>
      <w:proofErr w:type="spellStart"/>
      <w:r w:rsidRPr="007B0B53">
        <w:rPr>
          <w:rFonts w:cs="Times New Roman"/>
          <w:szCs w:val="24"/>
        </w:rPr>
        <w:t>Fachin</w:t>
      </w:r>
      <w:proofErr w:type="spellEnd"/>
      <w:r w:rsidRPr="007B0B53">
        <w:rPr>
          <w:rFonts w:cs="Times New Roman"/>
          <w:szCs w:val="24"/>
        </w:rPr>
        <w:t xml:space="preserve"> determinou a suspensão de operações policiais em comunidades do estado durante a pandemia da covid-19. As ações deveriam ficar restritas a casos excepcionais e serem informadas previamente ao Ministério Público estadual para acompanhamento. </w:t>
      </w:r>
      <w:r w:rsidRPr="007B0B53">
        <w:rPr>
          <w:rStyle w:val="Forte"/>
          <w:rFonts w:cs="Times New Roman"/>
          <w:b w:val="0"/>
          <w:bCs w:val="0"/>
          <w:szCs w:val="24"/>
        </w:rPr>
        <w:t xml:space="preserve">Câmeras e GPS - </w:t>
      </w:r>
      <w:r w:rsidRPr="007B0B53">
        <w:rPr>
          <w:rFonts w:cs="Times New Roman"/>
          <w:szCs w:val="24"/>
        </w:rPr>
        <w:t xml:space="preserve">O relator também determinou a instalação de câmeras e equipamentos de </w:t>
      </w:r>
      <w:proofErr w:type="spellStart"/>
      <w:r w:rsidRPr="007B0B53">
        <w:rPr>
          <w:rFonts w:cs="Times New Roman"/>
          <w:szCs w:val="24"/>
        </w:rPr>
        <w:t>geolocalização</w:t>
      </w:r>
      <w:proofErr w:type="spellEnd"/>
      <w:r w:rsidRPr="007B0B53">
        <w:rPr>
          <w:rFonts w:cs="Times New Roman"/>
          <w:szCs w:val="24"/>
        </w:rPr>
        <w:t xml:space="preserve"> (GPS) nas fardas de policiais do Rio de Janeiro e a gravação em áudio e vídeo em viaturas, mesmo para equipes especializadas, como Bope e Core. </w:t>
      </w:r>
      <w:r w:rsidRPr="007B0B53">
        <w:rPr>
          <w:rStyle w:val="Forte"/>
          <w:rFonts w:cs="Times New Roman"/>
          <w:b w:val="0"/>
          <w:bCs w:val="0"/>
          <w:szCs w:val="24"/>
        </w:rPr>
        <w:t xml:space="preserve">Helicópteros - </w:t>
      </w:r>
      <w:r w:rsidRPr="007B0B53">
        <w:rPr>
          <w:rFonts w:cs="Times New Roman"/>
          <w:szCs w:val="24"/>
        </w:rPr>
        <w:t xml:space="preserve">Em agosto de 2020, foi confirmada nova liminar, desta vez para restringir o uso de helicópteros nas comunidades em casos de estrita necessidade, comprovada por relatório no final da operação. Segundo informações trazidas na ação, um decreto estadual autoriza a utilização de helicópteros em confronto armado direto, e eles estariam sendo utilizados como plataforma de tiro. </w:t>
      </w:r>
      <w:r w:rsidRPr="007B0B53">
        <w:rPr>
          <w:rStyle w:val="Forte"/>
          <w:rFonts w:cs="Times New Roman"/>
          <w:b w:val="0"/>
          <w:bCs w:val="0"/>
          <w:szCs w:val="24"/>
        </w:rPr>
        <w:t xml:space="preserve">Escolas e postos de saúde - </w:t>
      </w:r>
      <w:r w:rsidRPr="007B0B53">
        <w:rPr>
          <w:rFonts w:cs="Times New Roman"/>
          <w:szCs w:val="24"/>
        </w:rPr>
        <w:t xml:space="preserve">Na mesma decisão ficou estabelecido que a realização de operações próximas de escolas, creches, hospitais ou postos de saúde é medida excepcional e deve ser justificada ao Ministério Público. Também foi proibida a utilização desses locais como base operacional das polícias. </w:t>
      </w:r>
      <w:r w:rsidRPr="007B0B53">
        <w:rPr>
          <w:rStyle w:val="Forte"/>
          <w:rFonts w:cs="Times New Roman"/>
          <w:b w:val="0"/>
          <w:bCs w:val="0"/>
          <w:szCs w:val="24"/>
        </w:rPr>
        <w:t xml:space="preserve">CNJ - </w:t>
      </w:r>
      <w:r w:rsidRPr="007B0B53">
        <w:rPr>
          <w:rFonts w:cs="Times New Roman"/>
          <w:szCs w:val="24"/>
        </w:rPr>
        <w:t xml:space="preserve">Em abril de 2024, um grupo de trabalho do Conselho Nacional de Justiça (CNJ), formado para acompanhar as ações para reduzir a letalidade policial no Rio de Janeiro, apresentou um relatório ao ministro </w:t>
      </w:r>
      <w:proofErr w:type="spellStart"/>
      <w:r w:rsidRPr="007B0B53">
        <w:rPr>
          <w:rFonts w:cs="Times New Roman"/>
          <w:szCs w:val="24"/>
        </w:rPr>
        <w:t>Fachin</w:t>
      </w:r>
      <w:proofErr w:type="spellEnd"/>
      <w:r w:rsidRPr="007B0B53">
        <w:rPr>
          <w:rFonts w:cs="Times New Roman"/>
          <w:szCs w:val="24"/>
        </w:rPr>
        <w:t xml:space="preserve">. A conclusão foi de que a única forma de fiscalizar a atuação policial e </w:t>
      </w:r>
      <w:r w:rsidRPr="007B0B53">
        <w:rPr>
          <w:rFonts w:cs="Times New Roman"/>
          <w:szCs w:val="24"/>
        </w:rPr>
        <w:lastRenderedPageBreak/>
        <w:t>preservar os direitos humanos é promover a transparência dos dados das investigações, das ocorrências e das operações policiais, sob a supervisão do Ministério Público, que tem o dever constitucional de executar o controle externo da atividade policial.</w:t>
      </w:r>
    </w:p>
    <w:p w:rsidR="00D76795" w:rsidRPr="007B0B53" w:rsidRDefault="006F3227" w:rsidP="00D76795">
      <w:pPr>
        <w:spacing w:before="240"/>
        <w:rPr>
          <w:rFonts w:cs="Times New Roman"/>
          <w:szCs w:val="24"/>
        </w:rPr>
      </w:pPr>
      <w:r w:rsidRPr="007B0B53">
        <w:rPr>
          <w:rFonts w:cs="Times New Roman"/>
          <w:szCs w:val="24"/>
        </w:rPr>
        <w:t xml:space="preserve">STF </w:t>
      </w:r>
      <w:r w:rsidR="00D76795" w:rsidRPr="007B0B53">
        <w:rPr>
          <w:rFonts w:cs="Times New Roman"/>
          <w:szCs w:val="24"/>
        </w:rPr>
        <w:t>(ADPF 1165</w:t>
      </w:r>
      <w:r w:rsidR="00D76795" w:rsidRPr="007B0B53">
        <w:rPr>
          <w:rStyle w:val="Forte"/>
          <w:rFonts w:cs="Times New Roman"/>
          <w:b w:val="0"/>
          <w:szCs w:val="24"/>
        </w:rPr>
        <w:t xml:space="preserve">, </w:t>
      </w:r>
      <w:r w:rsidR="00D76795" w:rsidRPr="007B0B53">
        <w:rPr>
          <w:rFonts w:cs="Times New Roman"/>
          <w:szCs w:val="24"/>
        </w:rPr>
        <w:t>in Notícias STF 04.02.2025</w:t>
      </w:r>
      <w:r w:rsidR="00AE21ED" w:rsidRPr="007B0B53">
        <w:rPr>
          <w:rFonts w:cs="Times New Roman"/>
          <w:szCs w:val="24"/>
        </w:rPr>
        <w:t xml:space="preserve"> e Informativo STF 1164</w:t>
      </w:r>
      <w:r w:rsidR="00D76795" w:rsidRPr="007B0B53">
        <w:rPr>
          <w:rFonts w:cs="Times New Roman"/>
          <w:szCs w:val="24"/>
        </w:rPr>
        <w:t xml:space="preserve">) Supremo invalida lei de Uberlândia (MG) que proíbe linguagem neutra em escolas - </w:t>
      </w:r>
      <w:r w:rsidR="00D76795" w:rsidRPr="007B0B53">
        <w:rPr>
          <w:rFonts w:cs="Times New Roman"/>
          <w:spacing w:val="-5"/>
          <w:szCs w:val="24"/>
        </w:rPr>
        <w:t xml:space="preserve">Plenário aplicou entendimento de que município não tem competência para legislar sobre diretrizes e bases da educação. </w:t>
      </w:r>
      <w:r w:rsidR="00D76795" w:rsidRPr="007B0B53">
        <w:rPr>
          <w:rFonts w:cs="Times New Roman"/>
          <w:szCs w:val="24"/>
        </w:rPr>
        <w:t>Por unanimidade, o Plenário do Supremo Tribunal Federal (STF) declarou inconstitucional parte de uma lei de Uberlândia (MG) que proibia o uso de “linguagem neutra” e “dialeto não binário” na grade curricular e no material didático de escolas públicas ou privadas do município. O entendimento do STF é de que compete à União estabelecer normas gerais sobre educação e ensino. A matéria é objeto da Arguição de Descumprimento de Preceito Fundamental </w:t>
      </w:r>
      <w:r w:rsidR="00D76795" w:rsidRPr="007B0B53">
        <w:rPr>
          <w:rStyle w:val="Forte"/>
          <w:rFonts w:cs="Times New Roman"/>
          <w:b w:val="0"/>
          <w:szCs w:val="24"/>
        </w:rPr>
        <w:t>(ADPF) 1165</w:t>
      </w:r>
      <w:r w:rsidR="00D76795" w:rsidRPr="007B0B53">
        <w:rPr>
          <w:rFonts w:cs="Times New Roman"/>
          <w:szCs w:val="24"/>
        </w:rPr>
        <w:t xml:space="preserve">, apresentada pela Aliança Nacional LGBTI+ e pela Associação Brasileira de Famílias </w:t>
      </w:r>
      <w:proofErr w:type="spellStart"/>
      <w:r w:rsidR="00D76795" w:rsidRPr="007B0B53">
        <w:rPr>
          <w:rFonts w:cs="Times New Roman"/>
          <w:szCs w:val="24"/>
        </w:rPr>
        <w:t>Homotransafetivas</w:t>
      </w:r>
      <w:proofErr w:type="spellEnd"/>
      <w:r w:rsidR="00D76795" w:rsidRPr="007B0B53">
        <w:rPr>
          <w:rFonts w:cs="Times New Roman"/>
          <w:szCs w:val="24"/>
        </w:rPr>
        <w:t xml:space="preserve"> e julgada na sessão virtual finalizada em 3/2. O colegiado seguiu o voto da relatora, ministra </w:t>
      </w:r>
      <w:proofErr w:type="spellStart"/>
      <w:r w:rsidR="00D76795" w:rsidRPr="007B0B53">
        <w:rPr>
          <w:rFonts w:cs="Times New Roman"/>
          <w:szCs w:val="24"/>
        </w:rPr>
        <w:t>Cármen</w:t>
      </w:r>
      <w:proofErr w:type="spellEnd"/>
      <w:r w:rsidR="00D76795" w:rsidRPr="007B0B53">
        <w:rPr>
          <w:rFonts w:cs="Times New Roman"/>
          <w:szCs w:val="24"/>
        </w:rPr>
        <w:t xml:space="preserve"> Lúcia. Segundo a relatora, a Lei municipal 6.499/2022, a pretexto de regulamentar matéria de interesse local, interferiu de forma indevida no currículo pedagógico de instituições de ensino vinculadas ao Sistema Nacional de Educação, previsto na Lei federal 13.005/2014, e submetidas à Lei de Diretrizes e Bases da Educação Nacional (Lei federal 9.394/1996). A ministra ressaltou, ainda, que o ensino da língua portuguesa é obrigatório e abrange o conhecimento de formas diversas de expressão. Por isso, cabe à União regulá-lo, de modo a garantir homogeneidade em todo o território nacional. Além disso, para </w:t>
      </w:r>
      <w:proofErr w:type="spellStart"/>
      <w:r w:rsidR="00D76795" w:rsidRPr="007B0B53">
        <w:rPr>
          <w:rFonts w:cs="Times New Roman"/>
          <w:szCs w:val="24"/>
        </w:rPr>
        <w:t>Cármen</w:t>
      </w:r>
      <w:proofErr w:type="spellEnd"/>
      <w:r w:rsidR="00D76795" w:rsidRPr="007B0B53">
        <w:rPr>
          <w:rFonts w:cs="Times New Roman"/>
          <w:szCs w:val="24"/>
        </w:rPr>
        <w:t xml:space="preserve"> Lúcia, a proibição da denominada “linguagem neutra” viola a garantia da liberdade de expressão.</w:t>
      </w:r>
    </w:p>
    <w:p w:rsidR="0015499C" w:rsidRPr="007B0B53" w:rsidRDefault="00D76795" w:rsidP="0015499C">
      <w:pPr>
        <w:spacing w:before="240"/>
        <w:rPr>
          <w:rFonts w:cs="Times New Roman"/>
          <w:szCs w:val="24"/>
        </w:rPr>
      </w:pPr>
      <w:r w:rsidRPr="007B0B53">
        <w:rPr>
          <w:rFonts w:cs="Times New Roman"/>
          <w:szCs w:val="24"/>
        </w:rPr>
        <w:t xml:space="preserve">STF </w:t>
      </w:r>
      <w:r w:rsidR="0015499C" w:rsidRPr="007B0B53">
        <w:rPr>
          <w:rFonts w:cs="Times New Roman"/>
          <w:szCs w:val="24"/>
        </w:rPr>
        <w:t>(Rcl 75188</w:t>
      </w:r>
      <w:r w:rsidR="0015499C" w:rsidRPr="007B0B53">
        <w:rPr>
          <w:rStyle w:val="Forte"/>
          <w:rFonts w:cs="Times New Roman"/>
          <w:b w:val="0"/>
          <w:szCs w:val="24"/>
        </w:rPr>
        <w:t xml:space="preserve">, </w:t>
      </w:r>
      <w:r w:rsidR="0015499C" w:rsidRPr="007B0B53">
        <w:rPr>
          <w:rFonts w:cs="Times New Roman"/>
          <w:szCs w:val="24"/>
        </w:rPr>
        <w:t xml:space="preserve">in Notícias STF 31.01.2025) STF mantém decisão que garante fornecimento de </w:t>
      </w:r>
      <w:proofErr w:type="spellStart"/>
      <w:r w:rsidR="0015499C" w:rsidRPr="007B0B53">
        <w:rPr>
          <w:rFonts w:cs="Times New Roman"/>
          <w:szCs w:val="24"/>
        </w:rPr>
        <w:t>Zolgensma</w:t>
      </w:r>
      <w:proofErr w:type="spellEnd"/>
      <w:r w:rsidR="0015499C" w:rsidRPr="007B0B53">
        <w:rPr>
          <w:rFonts w:cs="Times New Roman"/>
          <w:szCs w:val="24"/>
        </w:rPr>
        <w:t xml:space="preserve"> para criança com doença rara - </w:t>
      </w:r>
      <w:r w:rsidR="0015499C" w:rsidRPr="007B0B53">
        <w:rPr>
          <w:rFonts w:cs="Times New Roman"/>
          <w:spacing w:val="-5"/>
          <w:szCs w:val="24"/>
        </w:rPr>
        <w:t xml:space="preserve">Ministro Gilmar Mendes também chamou atenção para debate referente à unificação dos órgãos nacionais que realizam a aprovação e a incorporação de medicamentos de alto custo no SUS. </w:t>
      </w:r>
      <w:r w:rsidR="0015499C" w:rsidRPr="007B0B53">
        <w:rPr>
          <w:rFonts w:cs="Times New Roman"/>
          <w:szCs w:val="24"/>
        </w:rPr>
        <w:t xml:space="preserve">O ministro Gilmar Mendes, do Supremo Tribunal Federal, manteve nesta quinta-feira (30) decisão da 21ª Vara Federal Cível do Distrito Federal que garantiu o fornecimento do medicamento </w:t>
      </w:r>
      <w:proofErr w:type="spellStart"/>
      <w:r w:rsidR="0015499C" w:rsidRPr="007B0B53">
        <w:rPr>
          <w:rFonts w:cs="Times New Roman"/>
          <w:szCs w:val="24"/>
        </w:rPr>
        <w:t>Zolgensma</w:t>
      </w:r>
      <w:proofErr w:type="spellEnd"/>
      <w:r w:rsidR="0015499C" w:rsidRPr="007B0B53">
        <w:rPr>
          <w:rFonts w:cs="Times New Roman"/>
          <w:szCs w:val="24"/>
        </w:rPr>
        <w:t xml:space="preserve"> para uma criança de um ano e 10 meses de idade que tem Atrofia Muscular Espinhal (AME) tipo 2, doença rara degenerativa que afeta a mobilidade. O decano também destacou em sua decisão a necessidade de um debate aprofundado sobre a possibilidade de unificação dos órgãos nacionais que realizam a aprovação e a incorporação de medicamentos de alto custo no Sistema Único de Saúde (SUS). </w:t>
      </w:r>
      <w:r w:rsidR="0015499C" w:rsidRPr="007B0B53">
        <w:rPr>
          <w:rStyle w:val="Forte"/>
          <w:rFonts w:cs="Times New Roman"/>
          <w:b w:val="0"/>
          <w:bCs w:val="0"/>
          <w:szCs w:val="24"/>
        </w:rPr>
        <w:t xml:space="preserve">Concessão de medicamento - </w:t>
      </w:r>
      <w:r w:rsidR="0015499C" w:rsidRPr="007B0B53">
        <w:rPr>
          <w:rFonts w:cs="Times New Roman"/>
          <w:szCs w:val="24"/>
        </w:rPr>
        <w:t>O caso foi avaliado na Reclamação (RCL) 75188, apresentada pela União, que alegava violação ao entendimento firmado pelo STF no Tema 6 de Repercussão Geral, que impede, como regra geral, a concessão de decisões judiciais para o fornecimento de remédios não incorporados ao SUS. Ao avaliar o pedido, o ministro Gilmar Mendes considerou que não houve desrespeito ao fixado pelo Supremo. Isso porque a Corte permitiu a concessão excepcional de medicamentos não incorporados por decisão judicial, desde que preenchidos requisitos como a negativa do fornecimento pela via administrativa, a impossibilidade de substituição do medicamento no âmbito do SUS e a comprovação científica baseada em evidências de sua eficácia e segurança. Todos os requisitos estão preenchidos no caso dos autos, incluindo a ilegalidade no ato de não incorporação pela Comissão Nacional de Incorporação de Tecnologias no SUS (</w:t>
      </w:r>
      <w:proofErr w:type="spellStart"/>
      <w:r w:rsidR="0015499C" w:rsidRPr="007B0B53">
        <w:rPr>
          <w:rFonts w:cs="Times New Roman"/>
          <w:szCs w:val="24"/>
        </w:rPr>
        <w:t>Conitec</w:t>
      </w:r>
      <w:proofErr w:type="spellEnd"/>
      <w:r w:rsidR="0015499C" w:rsidRPr="007B0B53">
        <w:rPr>
          <w:rFonts w:cs="Times New Roman"/>
          <w:szCs w:val="24"/>
        </w:rPr>
        <w:t xml:space="preserve">), responsável por dar o aval para o medicamento ser ofertado pelo SUS. De acordo com o relator, embora a Agência Nacional de Vigilância Sanitária (Anvisa) tenha aprovado o registro do </w:t>
      </w:r>
      <w:proofErr w:type="spellStart"/>
      <w:r w:rsidR="0015499C" w:rsidRPr="007B0B53">
        <w:rPr>
          <w:rFonts w:cs="Times New Roman"/>
          <w:szCs w:val="24"/>
        </w:rPr>
        <w:t>Zolgensma</w:t>
      </w:r>
      <w:proofErr w:type="spellEnd"/>
      <w:r w:rsidR="0015499C" w:rsidRPr="007B0B53">
        <w:rPr>
          <w:rFonts w:cs="Times New Roman"/>
          <w:szCs w:val="24"/>
        </w:rPr>
        <w:t xml:space="preserve"> para crianças de até dois anos de idade, a </w:t>
      </w:r>
      <w:proofErr w:type="spellStart"/>
      <w:r w:rsidR="0015499C" w:rsidRPr="007B0B53">
        <w:rPr>
          <w:rFonts w:cs="Times New Roman"/>
          <w:szCs w:val="24"/>
        </w:rPr>
        <w:t>Conitec</w:t>
      </w:r>
      <w:proofErr w:type="spellEnd"/>
      <w:r w:rsidR="0015499C" w:rsidRPr="007B0B53">
        <w:rPr>
          <w:rFonts w:cs="Times New Roman"/>
          <w:szCs w:val="24"/>
        </w:rPr>
        <w:t xml:space="preserve"> restringiu sua incorporação apenas aos pacientes de até seis meses. Para subsidiar a decisão, o decano solicitou relatório elaborado pela médica </w:t>
      </w:r>
      <w:proofErr w:type="spellStart"/>
      <w:r w:rsidR="0015499C" w:rsidRPr="007B0B53">
        <w:rPr>
          <w:rFonts w:cs="Times New Roman"/>
          <w:szCs w:val="24"/>
        </w:rPr>
        <w:t>Ludhmila</w:t>
      </w:r>
      <w:proofErr w:type="spellEnd"/>
      <w:r w:rsidR="0015499C" w:rsidRPr="007B0B53">
        <w:rPr>
          <w:rFonts w:cs="Times New Roman"/>
          <w:szCs w:val="24"/>
        </w:rPr>
        <w:t xml:space="preserve"> </w:t>
      </w:r>
      <w:proofErr w:type="spellStart"/>
      <w:r w:rsidR="0015499C" w:rsidRPr="007B0B53">
        <w:rPr>
          <w:rFonts w:cs="Times New Roman"/>
          <w:szCs w:val="24"/>
        </w:rPr>
        <w:t>Hajjar</w:t>
      </w:r>
      <w:proofErr w:type="spellEnd"/>
      <w:r w:rsidR="0015499C" w:rsidRPr="007B0B53">
        <w:rPr>
          <w:rFonts w:cs="Times New Roman"/>
          <w:szCs w:val="24"/>
        </w:rPr>
        <w:t xml:space="preserve"> e pelo médico Salmo </w:t>
      </w:r>
      <w:proofErr w:type="spellStart"/>
      <w:r w:rsidR="0015499C" w:rsidRPr="007B0B53">
        <w:rPr>
          <w:rFonts w:cs="Times New Roman"/>
          <w:szCs w:val="24"/>
        </w:rPr>
        <w:t>Raskin</w:t>
      </w:r>
      <w:proofErr w:type="spellEnd"/>
      <w:r w:rsidR="0015499C" w:rsidRPr="007B0B53">
        <w:rPr>
          <w:rFonts w:cs="Times New Roman"/>
          <w:szCs w:val="24"/>
        </w:rPr>
        <w:t xml:space="preserve">, que apontaram a existência de novos estudos que demonstram a eficácia e a segurança do medicamento para crianças de até 24 meses de idade diagnosticadas com AME do tipo 2, como o caso dos autos. “Nesse cenário, não mais se sustentam, ou pelo menos merecem revisitação, os argumentos apresentados pela </w:t>
      </w:r>
      <w:proofErr w:type="spellStart"/>
      <w:r w:rsidR="0015499C" w:rsidRPr="007B0B53">
        <w:rPr>
          <w:rFonts w:cs="Times New Roman"/>
          <w:szCs w:val="24"/>
        </w:rPr>
        <w:t>Conitec</w:t>
      </w:r>
      <w:proofErr w:type="spellEnd"/>
      <w:r w:rsidR="0015499C" w:rsidRPr="007B0B53">
        <w:rPr>
          <w:rFonts w:cs="Times New Roman"/>
          <w:szCs w:val="24"/>
        </w:rPr>
        <w:t xml:space="preserve"> no sentido de que as evidências clínicas disponíveis sobre eficácia e segurança indicam sucesso do tratamento apenas para uma população de até 6 meses de idade, diagnosticadas com AME Tipo 1”, afirmou. Por essa razão, o ministro também determinou o envio da decisão à </w:t>
      </w:r>
      <w:proofErr w:type="spellStart"/>
      <w:r w:rsidR="0015499C" w:rsidRPr="007B0B53">
        <w:rPr>
          <w:rFonts w:cs="Times New Roman"/>
          <w:szCs w:val="24"/>
        </w:rPr>
        <w:t>Conitec</w:t>
      </w:r>
      <w:proofErr w:type="spellEnd"/>
      <w:r w:rsidR="0015499C" w:rsidRPr="007B0B53">
        <w:rPr>
          <w:rFonts w:cs="Times New Roman"/>
          <w:szCs w:val="24"/>
        </w:rPr>
        <w:t xml:space="preserve"> para reavaliar a incorporação do medicamento ao SUS. </w:t>
      </w:r>
      <w:r w:rsidR="0015499C" w:rsidRPr="007B0B53">
        <w:rPr>
          <w:rStyle w:val="Forte"/>
          <w:rFonts w:cs="Times New Roman"/>
          <w:b w:val="0"/>
          <w:bCs w:val="0"/>
          <w:szCs w:val="24"/>
        </w:rPr>
        <w:t xml:space="preserve">Debate em aberto - </w:t>
      </w:r>
      <w:r w:rsidR="0015499C" w:rsidRPr="007B0B53">
        <w:rPr>
          <w:rFonts w:cs="Times New Roman"/>
          <w:szCs w:val="24"/>
        </w:rPr>
        <w:t xml:space="preserve">O ministro Gilmar Mendes também destacou que há um debate aberto que talvez deva receber uma atenção especial do legislador e dos especialistas sobre a matéria, referente à possibilidade de unificação dos órgãos nacionais que realizam a aprovação para o mercado e a incorporação no SUS dos medicamentos no Brasil. Para o relator, a discussão é relevante para que sejam </w:t>
      </w:r>
      <w:r w:rsidR="0015499C" w:rsidRPr="007B0B53">
        <w:rPr>
          <w:rFonts w:cs="Times New Roman"/>
          <w:szCs w:val="24"/>
        </w:rPr>
        <w:lastRenderedPageBreak/>
        <w:t>evitadas situações em que o medicamento não é incorporado ao SUS, apesar de ter sido aprovado pela Anvisa para ser adquirido pelo mercado brasileiro. “Esse é um debate público que demanda alteração legislativa, mas deixo registrado minhas perplexidades, as quais foram destacadas em seminário realizado por esta Corte nos autos do tema 1.234 (RE 1.366.243), em dezembro do ano passado”, afirmou.</w:t>
      </w:r>
    </w:p>
    <w:p w:rsidR="005E636D" w:rsidRPr="007B0B53" w:rsidRDefault="0015499C" w:rsidP="005E636D">
      <w:pPr>
        <w:spacing w:before="240"/>
        <w:rPr>
          <w:rFonts w:cs="Times New Roman"/>
          <w:szCs w:val="24"/>
        </w:rPr>
      </w:pPr>
      <w:r w:rsidRPr="007B0B53">
        <w:rPr>
          <w:rFonts w:cs="Times New Roman"/>
          <w:szCs w:val="24"/>
        </w:rPr>
        <w:t xml:space="preserve">STF </w:t>
      </w:r>
      <w:r w:rsidR="005E636D" w:rsidRPr="007B0B53">
        <w:rPr>
          <w:rFonts w:cs="Times New Roman"/>
          <w:szCs w:val="24"/>
        </w:rPr>
        <w:t>(ADPF 1196</w:t>
      </w:r>
      <w:r w:rsidR="005E636D" w:rsidRPr="007B0B53">
        <w:rPr>
          <w:rStyle w:val="Forte"/>
          <w:rFonts w:cs="Times New Roman"/>
          <w:b w:val="0"/>
          <w:szCs w:val="24"/>
        </w:rPr>
        <w:t xml:space="preserve">, </w:t>
      </w:r>
      <w:r w:rsidR="005E636D" w:rsidRPr="007B0B53">
        <w:rPr>
          <w:rFonts w:cs="Times New Roman"/>
          <w:szCs w:val="24"/>
        </w:rPr>
        <w:t xml:space="preserve">in Notícias STF 31.01.2025) STF abre prazo para partes se manifestarem sobre nota técnica de privatização de cemitérios em SP - </w:t>
      </w:r>
      <w:r w:rsidR="005E636D" w:rsidRPr="007B0B53">
        <w:rPr>
          <w:rFonts w:cs="Times New Roman"/>
          <w:spacing w:val="-5"/>
          <w:szCs w:val="24"/>
        </w:rPr>
        <w:t xml:space="preserve">O ministro Flávio Dino fixou prazo de 15 dias úteis. </w:t>
      </w:r>
      <w:r w:rsidR="005E636D" w:rsidRPr="007B0B53">
        <w:rPr>
          <w:rFonts w:cs="Times New Roman"/>
          <w:szCs w:val="24"/>
        </w:rPr>
        <w:t>O ministro Flávio Dino, do Supremo Tribunal Federal (STF), fixou o prazo de 15 dias úteis para que as partes envolvidas no processo sobre a privatização de cemitérios em São Paulo se manifestem acerca da nota técnica elaborada pelo Núcleo de Processos Estruturais Complexos (</w:t>
      </w:r>
      <w:proofErr w:type="spellStart"/>
      <w:r w:rsidR="005E636D" w:rsidRPr="007B0B53">
        <w:rPr>
          <w:rFonts w:cs="Times New Roman"/>
          <w:szCs w:val="24"/>
        </w:rPr>
        <w:t>Nupec</w:t>
      </w:r>
      <w:proofErr w:type="spellEnd"/>
      <w:r w:rsidR="005E636D" w:rsidRPr="007B0B53">
        <w:rPr>
          <w:rFonts w:cs="Times New Roman"/>
          <w:szCs w:val="24"/>
        </w:rPr>
        <w:t>) do Tribunal. O documento analisa os impactos da privatização, e a decisão foi proferida no âmbito da Arguição de Descumprimento de Preceito Fundamental </w:t>
      </w:r>
      <w:r w:rsidR="005E636D" w:rsidRPr="007B0B53">
        <w:rPr>
          <w:rStyle w:val="Forte"/>
          <w:rFonts w:cs="Times New Roman"/>
          <w:b w:val="0"/>
          <w:szCs w:val="24"/>
        </w:rPr>
        <w:t>(ADPF) 1196</w:t>
      </w:r>
      <w:r w:rsidR="005E636D" w:rsidRPr="007B0B53">
        <w:rPr>
          <w:rFonts w:cs="Times New Roman"/>
          <w:szCs w:val="24"/>
        </w:rPr>
        <w:t xml:space="preserve">. Segundo o </w:t>
      </w:r>
      <w:proofErr w:type="spellStart"/>
      <w:r w:rsidR="005E636D" w:rsidRPr="007B0B53">
        <w:rPr>
          <w:rFonts w:cs="Times New Roman"/>
          <w:szCs w:val="24"/>
        </w:rPr>
        <w:t>Nupec</w:t>
      </w:r>
      <w:proofErr w:type="spellEnd"/>
      <w:r w:rsidR="005E636D" w:rsidRPr="007B0B53">
        <w:rPr>
          <w:rFonts w:cs="Times New Roman"/>
          <w:szCs w:val="24"/>
        </w:rPr>
        <w:t xml:space="preserve">, embora os preços praticados pelas concessionárias não apresentem grandes variações, há um número significativo de casos em que os valores não estão sendo corretamente aplicados, resultando em prejuízos à população. O Núcleo destaca ainda que a controvérsia possui relevância constitucional, pois envolve a possibilidade de o município impor restrições ao exercício das atividades funerárias, à luz dos princípios constitucionais que regem a ordem econômica. Essa questão ainda não foi analisada pelo Plenário do STF sob a sistemática da repercussão geral. </w:t>
      </w:r>
      <w:r w:rsidR="005E636D" w:rsidRPr="007B0B53">
        <w:rPr>
          <w:rFonts w:cs="Times New Roman"/>
          <w:b/>
          <w:bCs/>
          <w:szCs w:val="24"/>
        </w:rPr>
        <w:t xml:space="preserve">Sofrimento adicional - </w:t>
      </w:r>
      <w:r w:rsidR="005E636D" w:rsidRPr="007B0B53">
        <w:rPr>
          <w:rFonts w:cs="Times New Roman"/>
          <w:szCs w:val="24"/>
        </w:rPr>
        <w:t xml:space="preserve">No despacho, o ministro salientou que a controvérsia não está relacionada apenas à questão financeira, que pode influenciar o acesso a um direito fundamental, mas diz respeito também ao “preço” de um sofrimento adicional, como uma cobrança abusiva ou regras obscuras que tornam a decisão da família ainda mais difícil. A seu ver, não se trata de um serviço público corriqueiro, mas de uma atividade realizada em um dos momentos mais difíceis da vida, quando uma família enlutada precisa organizar o sepultamento de um ente querido em poucas horas Segundo Dino, serviços públicos relacionados diretamente à vida e à morte são questões de relevância constitucional, não apenas de “mercado”. “É espantoso que não se constate a dimensão constitucional do tema, tentando reduzi-lo a um ‘negócio’ ou a uma mera questão contratual”, observou. </w:t>
      </w:r>
      <w:r w:rsidR="005E636D" w:rsidRPr="007B0B53">
        <w:rPr>
          <w:rFonts w:cs="Times New Roman"/>
          <w:b/>
          <w:bCs/>
          <w:szCs w:val="24"/>
        </w:rPr>
        <w:t xml:space="preserve">Contexto - </w:t>
      </w:r>
      <w:r w:rsidR="005E636D" w:rsidRPr="007B0B53">
        <w:rPr>
          <w:rFonts w:cs="Times New Roman"/>
          <w:szCs w:val="24"/>
        </w:rPr>
        <w:t xml:space="preserve">No dia 27, o ministro solicitou ao </w:t>
      </w:r>
      <w:proofErr w:type="spellStart"/>
      <w:r w:rsidR="005E636D" w:rsidRPr="007B0B53">
        <w:rPr>
          <w:rFonts w:cs="Times New Roman"/>
          <w:szCs w:val="24"/>
        </w:rPr>
        <w:t>Nupec</w:t>
      </w:r>
      <w:proofErr w:type="spellEnd"/>
      <w:r w:rsidR="005E636D" w:rsidRPr="007B0B53">
        <w:rPr>
          <w:rFonts w:cs="Times New Roman"/>
          <w:szCs w:val="24"/>
        </w:rPr>
        <w:t xml:space="preserve"> nota técnica para analisar a variação dos preços dos serviços funerários e </w:t>
      </w:r>
      <w:proofErr w:type="spellStart"/>
      <w:r w:rsidR="005E636D" w:rsidRPr="007B0B53">
        <w:rPr>
          <w:rFonts w:cs="Times New Roman"/>
          <w:szCs w:val="24"/>
        </w:rPr>
        <w:t>cemiteriais</w:t>
      </w:r>
      <w:proofErr w:type="spellEnd"/>
      <w:r w:rsidR="005E636D" w:rsidRPr="007B0B53">
        <w:rPr>
          <w:rFonts w:cs="Times New Roman"/>
          <w:szCs w:val="24"/>
        </w:rPr>
        <w:t xml:space="preserve"> em São Paulo, comparando os períodos antes e depois da privatização desses serviços. Autor da ação, o Partido Comunista do Brasil (PCdoB) questiona a legalidade de duas leis paulistanas que transferiram à iniciativa privada a administração desses serviços. Entre as alegações, argumenta que a privatização resultou em uma “exploração comercial desenfreada”.</w:t>
      </w:r>
    </w:p>
    <w:p w:rsidR="004969AE" w:rsidRPr="007B0B53" w:rsidRDefault="005E636D" w:rsidP="004969AE">
      <w:pPr>
        <w:spacing w:before="240"/>
        <w:rPr>
          <w:rFonts w:cs="Times New Roman"/>
          <w:szCs w:val="24"/>
        </w:rPr>
      </w:pPr>
      <w:r w:rsidRPr="007B0B53">
        <w:rPr>
          <w:rFonts w:cs="Times New Roman"/>
          <w:szCs w:val="24"/>
        </w:rPr>
        <w:t xml:space="preserve">STF </w:t>
      </w:r>
      <w:r w:rsidR="004969AE" w:rsidRPr="007B0B53">
        <w:rPr>
          <w:rFonts w:cs="Times New Roman"/>
          <w:szCs w:val="24"/>
        </w:rPr>
        <w:t>(ADPF 1196</w:t>
      </w:r>
      <w:r w:rsidR="004969AE" w:rsidRPr="007B0B53">
        <w:rPr>
          <w:rStyle w:val="Forte"/>
          <w:rFonts w:cs="Times New Roman"/>
          <w:b w:val="0"/>
          <w:szCs w:val="24"/>
        </w:rPr>
        <w:t xml:space="preserve">, </w:t>
      </w:r>
      <w:r w:rsidR="004969AE" w:rsidRPr="007B0B53">
        <w:rPr>
          <w:rFonts w:cs="Times New Roman"/>
          <w:szCs w:val="24"/>
        </w:rPr>
        <w:t xml:space="preserve">in Notícias STF 29.01.2025) Núcleo de processos complexos do STF vai analisar efeitos da privatização de cemitérios em São Paulo - </w:t>
      </w:r>
      <w:r w:rsidR="004969AE" w:rsidRPr="007B0B53">
        <w:rPr>
          <w:rFonts w:cs="Times New Roman"/>
          <w:spacing w:val="-5"/>
          <w:szCs w:val="24"/>
        </w:rPr>
        <w:t xml:space="preserve">Setor apoia a atuação dos gabinetes na identificação e processamento de ações estruturais e complexas. </w:t>
      </w:r>
      <w:r w:rsidR="004969AE" w:rsidRPr="007B0B53">
        <w:rPr>
          <w:rFonts w:cs="Times New Roman"/>
          <w:szCs w:val="24"/>
        </w:rPr>
        <w:t>O ministro Flávio Dino, do Supremo Tribunal Federal (STF), encaminhou ao Núcleo de Processos Estruturais Complexos (</w:t>
      </w:r>
      <w:proofErr w:type="spellStart"/>
      <w:r w:rsidR="004969AE" w:rsidRPr="007B0B53">
        <w:rPr>
          <w:rFonts w:cs="Times New Roman"/>
          <w:szCs w:val="24"/>
        </w:rPr>
        <w:t>Nupec</w:t>
      </w:r>
      <w:proofErr w:type="spellEnd"/>
      <w:r w:rsidR="004969AE" w:rsidRPr="007B0B53">
        <w:rPr>
          <w:rFonts w:cs="Times New Roman"/>
          <w:szCs w:val="24"/>
        </w:rPr>
        <w:t>) da Corte a ação que questiona leis do Município de São Paulo (SP) que privatizaram a exploração de cemitérios e crematórios públicos e serviços funerários. Caberá ao setor apresentar uma nota técnica sobre a dinâmica de preços desses serviços antes e depois da privatização. Na Arguição de Descumprimento de Preceito Fundamental </w:t>
      </w:r>
      <w:r w:rsidR="004969AE" w:rsidRPr="007B0B53">
        <w:rPr>
          <w:rStyle w:val="Forte"/>
          <w:rFonts w:cs="Times New Roman"/>
          <w:b w:val="0"/>
          <w:szCs w:val="24"/>
        </w:rPr>
        <w:t>(ADPF) 1196</w:t>
      </w:r>
      <w:r w:rsidR="004969AE" w:rsidRPr="007B0B53">
        <w:rPr>
          <w:rFonts w:cs="Times New Roman"/>
          <w:szCs w:val="24"/>
        </w:rPr>
        <w:t xml:space="preserve">, o Partido Comunista do Brasil (PCdoB) questiona a legalidade de duas leis paulistanas que transferiram à iniciativa privada a administração desses serviços. Para o partido, as normas violam a Lei Orgânica do município, que determina que eles devem ser administrados diretamente pela prefeitura e fiscalizados no caso de entidades privadas. Segundo o PCdoB, a privatização resultou em uma “exploração comercial desenfreada”. Em novembro do ano passado, o ministro Flávio Dino concedeu liminar para restabelecer a cobrança dos serviços tendo como teto os valores praticados antes da privatização. Em audiência de conciliação com as partes envolvidas, a prefeitura apresentou esclarecimentos sobre o caso e solicitou que o ministro reconsidere a decisão e arquive a ação. Então, com o objetivo de subsidiar a análise desse pedido, Dino remeteu o processo ao </w:t>
      </w:r>
      <w:proofErr w:type="spellStart"/>
      <w:r w:rsidR="004969AE" w:rsidRPr="007B0B53">
        <w:rPr>
          <w:rFonts w:cs="Times New Roman"/>
          <w:szCs w:val="24"/>
        </w:rPr>
        <w:t>Nupec</w:t>
      </w:r>
      <w:proofErr w:type="spellEnd"/>
      <w:r w:rsidR="004969AE" w:rsidRPr="007B0B53">
        <w:rPr>
          <w:rFonts w:cs="Times New Roman"/>
          <w:szCs w:val="24"/>
        </w:rPr>
        <w:t>, setor que apoia a atuação dos gabinetes na identificação e no processamento de ações estruturais e complexas.</w:t>
      </w:r>
    </w:p>
    <w:p w:rsidR="008011AD" w:rsidRPr="007B0B53" w:rsidRDefault="004969AE" w:rsidP="008011AD">
      <w:pPr>
        <w:spacing w:before="240"/>
        <w:rPr>
          <w:rFonts w:cs="Times New Roman"/>
          <w:szCs w:val="24"/>
        </w:rPr>
      </w:pPr>
      <w:r w:rsidRPr="007B0B53">
        <w:rPr>
          <w:rFonts w:cs="Times New Roman"/>
          <w:szCs w:val="24"/>
        </w:rPr>
        <w:t xml:space="preserve">STF </w:t>
      </w:r>
      <w:r w:rsidR="008011AD" w:rsidRPr="007B0B53">
        <w:rPr>
          <w:rFonts w:cs="Times New Roman"/>
          <w:szCs w:val="24"/>
        </w:rPr>
        <w:t>(Número dos processos não mencionado</w:t>
      </w:r>
      <w:r w:rsidR="008011AD" w:rsidRPr="007B0B53">
        <w:rPr>
          <w:rStyle w:val="Forte"/>
          <w:rFonts w:cs="Times New Roman"/>
          <w:b w:val="0"/>
          <w:szCs w:val="24"/>
        </w:rPr>
        <w:t xml:space="preserve">, </w:t>
      </w:r>
      <w:r w:rsidR="008011AD" w:rsidRPr="007B0B53">
        <w:rPr>
          <w:rFonts w:cs="Times New Roman"/>
          <w:szCs w:val="24"/>
        </w:rPr>
        <w:t xml:space="preserve">in Notícias STF 27.01.2025) Esclarecimento sobre decisões envolvendo concessão do medicamento </w:t>
      </w:r>
      <w:proofErr w:type="spellStart"/>
      <w:r w:rsidR="008011AD" w:rsidRPr="007B0B53">
        <w:rPr>
          <w:rFonts w:cs="Times New Roman"/>
          <w:szCs w:val="24"/>
        </w:rPr>
        <w:t>Elevidys</w:t>
      </w:r>
      <w:proofErr w:type="spellEnd"/>
      <w:r w:rsidR="008011AD" w:rsidRPr="007B0B53">
        <w:rPr>
          <w:rFonts w:cs="Times New Roman"/>
          <w:szCs w:val="24"/>
        </w:rPr>
        <w:t xml:space="preserve"> - </w:t>
      </w:r>
      <w:r w:rsidR="008011AD" w:rsidRPr="007B0B53">
        <w:rPr>
          <w:rFonts w:cs="Times New Roman"/>
          <w:spacing w:val="-5"/>
          <w:szCs w:val="24"/>
        </w:rPr>
        <w:t xml:space="preserve">Ministro Gilmar Mendes levou em consideração o risco à saúde das crianças, que estavam fora da faixa etária prevista pela farmacêutica para aplicação do remédio. </w:t>
      </w:r>
      <w:r w:rsidR="008011AD" w:rsidRPr="007B0B53">
        <w:rPr>
          <w:rFonts w:cs="Times New Roman"/>
          <w:szCs w:val="24"/>
        </w:rPr>
        <w:t xml:space="preserve">O ministro Gilmar Mendes, decano do Supremo Tribunal Federal (STF), proferiu quatro decisões envolvendo a concessão do medicamento </w:t>
      </w:r>
      <w:proofErr w:type="spellStart"/>
      <w:r w:rsidR="008011AD" w:rsidRPr="007B0B53">
        <w:rPr>
          <w:rFonts w:cs="Times New Roman"/>
          <w:szCs w:val="24"/>
        </w:rPr>
        <w:t>Elevidys</w:t>
      </w:r>
      <w:proofErr w:type="spellEnd"/>
      <w:r w:rsidR="008011AD" w:rsidRPr="007B0B53">
        <w:rPr>
          <w:rFonts w:cs="Times New Roman"/>
          <w:szCs w:val="24"/>
        </w:rPr>
        <w:t xml:space="preserve">, destinado ao tratamento de crianças portadoras da </w:t>
      </w:r>
      <w:r w:rsidR="008011AD" w:rsidRPr="007B0B53">
        <w:rPr>
          <w:rFonts w:cs="Times New Roman"/>
          <w:szCs w:val="24"/>
        </w:rPr>
        <w:lastRenderedPageBreak/>
        <w:t xml:space="preserve">Distrofia Muscular de </w:t>
      </w:r>
      <w:proofErr w:type="spellStart"/>
      <w:r w:rsidR="008011AD" w:rsidRPr="007B0B53">
        <w:rPr>
          <w:rFonts w:cs="Times New Roman"/>
          <w:szCs w:val="24"/>
        </w:rPr>
        <w:t>Duchenne</w:t>
      </w:r>
      <w:proofErr w:type="spellEnd"/>
      <w:r w:rsidR="008011AD" w:rsidRPr="007B0B53">
        <w:rPr>
          <w:rFonts w:cs="Times New Roman"/>
          <w:szCs w:val="24"/>
        </w:rPr>
        <w:t xml:space="preserve">. Em todos os casos, o relator rejeitou os pedidos levando em consideração o risco à saúde e à segurança da criança, uma vez que o </w:t>
      </w:r>
      <w:proofErr w:type="spellStart"/>
      <w:r w:rsidR="008011AD" w:rsidRPr="007B0B53">
        <w:rPr>
          <w:rFonts w:cs="Times New Roman"/>
          <w:szCs w:val="24"/>
        </w:rPr>
        <w:t>Elevidys</w:t>
      </w:r>
      <w:proofErr w:type="spellEnd"/>
      <w:r w:rsidR="008011AD" w:rsidRPr="007B0B53">
        <w:rPr>
          <w:rFonts w:cs="Times New Roman"/>
          <w:szCs w:val="24"/>
        </w:rPr>
        <w:t xml:space="preserve"> deve ser administrado apenas em crianças com idades entre quatro anos a sete anos, onze meses e 29 dias. Todos os pacientes possuíam idade superior. Em um dos casos, a criança atingiria a idade limite no próximo dia 30 de janeiro, o que inviabilizaria a aplicação do </w:t>
      </w:r>
      <w:proofErr w:type="spellStart"/>
      <w:r w:rsidR="008011AD" w:rsidRPr="007B0B53">
        <w:rPr>
          <w:rFonts w:cs="Times New Roman"/>
          <w:szCs w:val="24"/>
        </w:rPr>
        <w:t>Elevidys</w:t>
      </w:r>
      <w:proofErr w:type="spellEnd"/>
      <w:r w:rsidR="008011AD" w:rsidRPr="007B0B53">
        <w:rPr>
          <w:rFonts w:cs="Times New Roman"/>
          <w:szCs w:val="24"/>
        </w:rPr>
        <w:t xml:space="preserve">. A restrição etária foi embasada em critérios clínicos de eficácia do medicamento apresentados à Agência Nacional de Vigilância Sanitária (Anvisa), que aprovou o registro do </w:t>
      </w:r>
      <w:proofErr w:type="spellStart"/>
      <w:r w:rsidR="008011AD" w:rsidRPr="007B0B53">
        <w:rPr>
          <w:rFonts w:cs="Times New Roman"/>
          <w:szCs w:val="24"/>
        </w:rPr>
        <w:t>Elevidys</w:t>
      </w:r>
      <w:proofErr w:type="spellEnd"/>
      <w:r w:rsidR="008011AD" w:rsidRPr="007B0B53">
        <w:rPr>
          <w:rFonts w:cs="Times New Roman"/>
          <w:szCs w:val="24"/>
        </w:rPr>
        <w:t xml:space="preserve"> em dezembro de 2024. Em sua decisão, o ministro Gilmar Mendes reafirma sua profunda solidariedade com as crianças portadoras da Distrofia Muscular de </w:t>
      </w:r>
      <w:proofErr w:type="spellStart"/>
      <w:r w:rsidR="008011AD" w:rsidRPr="007B0B53">
        <w:rPr>
          <w:rFonts w:cs="Times New Roman"/>
          <w:szCs w:val="24"/>
        </w:rPr>
        <w:t>Duchenne</w:t>
      </w:r>
      <w:proofErr w:type="spellEnd"/>
      <w:r w:rsidR="008011AD" w:rsidRPr="007B0B53">
        <w:rPr>
          <w:rFonts w:cs="Times New Roman"/>
          <w:szCs w:val="24"/>
        </w:rPr>
        <w:t xml:space="preserve"> e suas famílias, reconhecendo os desafios emocionais e físicos enfrentados por elas. O ministro, porém, reafirma que é essencial priorizar a segurança e o bem-estar dos pacientes, guiando as decisões por diretrizes médicas baseadas em evidências. Por fim, o decano do STF destacou que há novas tecnologias em desenvolvimento como o fármaco </w:t>
      </w:r>
      <w:proofErr w:type="spellStart"/>
      <w:r w:rsidR="008011AD" w:rsidRPr="007B0B53">
        <w:rPr>
          <w:rFonts w:cs="Times New Roman"/>
          <w:szCs w:val="24"/>
        </w:rPr>
        <w:t>Givinostat</w:t>
      </w:r>
      <w:proofErr w:type="spellEnd"/>
      <w:r w:rsidR="008011AD" w:rsidRPr="007B0B53">
        <w:rPr>
          <w:rFonts w:cs="Times New Roman"/>
          <w:szCs w:val="24"/>
        </w:rPr>
        <w:t xml:space="preserve"> (</w:t>
      </w:r>
      <w:proofErr w:type="spellStart"/>
      <w:r w:rsidR="008011AD" w:rsidRPr="007B0B53">
        <w:rPr>
          <w:rFonts w:cs="Times New Roman"/>
          <w:szCs w:val="24"/>
        </w:rPr>
        <w:t>Duvyzat</w:t>
      </w:r>
      <w:proofErr w:type="spellEnd"/>
      <w:r w:rsidR="008011AD" w:rsidRPr="007B0B53">
        <w:rPr>
          <w:rFonts w:cs="Times New Roman"/>
          <w:szCs w:val="24"/>
        </w:rPr>
        <w:t xml:space="preserve">), que mostra grande potencial para oferecer soluções em um futuro próximo para crianças portadoras da Distrofia Muscular de </w:t>
      </w:r>
      <w:proofErr w:type="spellStart"/>
      <w:r w:rsidR="008011AD" w:rsidRPr="007B0B53">
        <w:rPr>
          <w:rFonts w:cs="Times New Roman"/>
          <w:szCs w:val="24"/>
        </w:rPr>
        <w:t>Duchenne</w:t>
      </w:r>
      <w:proofErr w:type="spellEnd"/>
      <w:r w:rsidR="008011AD" w:rsidRPr="007B0B53">
        <w:rPr>
          <w:rFonts w:cs="Times New Roman"/>
          <w:szCs w:val="24"/>
        </w:rPr>
        <w:t xml:space="preserve"> com idade a partir de 6 anos. “Espero que estas inovações possam transformar a vida dessas crianças, proporcionando novas perspectivas de tratamento”, afirmou.</w:t>
      </w:r>
    </w:p>
    <w:p w:rsidR="007822AB" w:rsidRPr="007B0B53" w:rsidRDefault="008011AD" w:rsidP="007822AB">
      <w:pPr>
        <w:spacing w:before="240"/>
        <w:rPr>
          <w:rFonts w:cs="Times New Roman"/>
          <w:szCs w:val="24"/>
        </w:rPr>
      </w:pPr>
      <w:r w:rsidRPr="007B0B53">
        <w:rPr>
          <w:rFonts w:cs="Times New Roman"/>
          <w:szCs w:val="24"/>
        </w:rPr>
        <w:t xml:space="preserve">STF </w:t>
      </w:r>
      <w:r w:rsidR="007822AB" w:rsidRPr="007B0B53">
        <w:rPr>
          <w:rFonts w:cs="Times New Roman"/>
          <w:szCs w:val="24"/>
        </w:rPr>
        <w:t>(ACO 3696</w:t>
      </w:r>
      <w:r w:rsidR="007822AB" w:rsidRPr="007B0B53">
        <w:rPr>
          <w:rStyle w:val="Forte"/>
          <w:rFonts w:cs="Times New Roman"/>
          <w:b w:val="0"/>
          <w:szCs w:val="24"/>
        </w:rPr>
        <w:t xml:space="preserve">, </w:t>
      </w:r>
      <w:r w:rsidR="007822AB" w:rsidRPr="007B0B53">
        <w:rPr>
          <w:rFonts w:cs="Times New Roman"/>
          <w:szCs w:val="24"/>
        </w:rPr>
        <w:t xml:space="preserve">in Notícias STF 24.01.2025) STF dá cinco dias para </w:t>
      </w:r>
      <w:proofErr w:type="spellStart"/>
      <w:r w:rsidR="007822AB" w:rsidRPr="007B0B53">
        <w:rPr>
          <w:rFonts w:cs="Times New Roman"/>
          <w:szCs w:val="24"/>
        </w:rPr>
        <w:t>Loterj</w:t>
      </w:r>
      <w:proofErr w:type="spellEnd"/>
      <w:r w:rsidR="007822AB" w:rsidRPr="007B0B53">
        <w:rPr>
          <w:rFonts w:cs="Times New Roman"/>
          <w:szCs w:val="24"/>
        </w:rPr>
        <w:t xml:space="preserve"> suspender apostas de fora do RJ - </w:t>
      </w:r>
      <w:r w:rsidR="007822AB" w:rsidRPr="007B0B53">
        <w:rPr>
          <w:rFonts w:cs="Times New Roman"/>
          <w:spacing w:val="-5"/>
          <w:szCs w:val="24"/>
        </w:rPr>
        <w:t xml:space="preserve">Decisão do ministro André Mendonça fixa multa diária de R$ 500 mil por descumprimento. </w:t>
      </w:r>
      <w:r w:rsidR="007822AB" w:rsidRPr="007B0B53">
        <w:rPr>
          <w:rFonts w:cs="Times New Roman"/>
          <w:szCs w:val="24"/>
        </w:rPr>
        <w:t>O ministro André Mendonça, do Supremo Tribunal Federal (STF), deu prazo de cinco dias para que a Loteria do Estado do Rio de Janeiro (</w:t>
      </w:r>
      <w:proofErr w:type="spellStart"/>
      <w:r w:rsidR="007822AB" w:rsidRPr="007B0B53">
        <w:rPr>
          <w:rFonts w:cs="Times New Roman"/>
          <w:szCs w:val="24"/>
        </w:rPr>
        <w:t>Loterj</w:t>
      </w:r>
      <w:proofErr w:type="spellEnd"/>
      <w:r w:rsidR="007822AB" w:rsidRPr="007B0B53">
        <w:rPr>
          <w:rFonts w:cs="Times New Roman"/>
          <w:szCs w:val="24"/>
        </w:rPr>
        <w:t>) adote providências para impedir que empresas credenciadas recebam apostas esportivas de quota fixa (</w:t>
      </w:r>
      <w:proofErr w:type="spellStart"/>
      <w:r w:rsidR="007822AB" w:rsidRPr="007B0B53">
        <w:rPr>
          <w:rFonts w:cs="Times New Roman"/>
          <w:szCs w:val="24"/>
        </w:rPr>
        <w:t>bets</w:t>
      </w:r>
      <w:proofErr w:type="spellEnd"/>
      <w:r w:rsidR="007822AB" w:rsidRPr="007B0B53">
        <w:rPr>
          <w:rFonts w:cs="Times New Roman"/>
          <w:szCs w:val="24"/>
        </w:rPr>
        <w:t xml:space="preserve">) feitas fora do Estado do Rio de Janeiro. O descumprimento da decisão resultará na aplicação de multa diária de R$ 500 mil à </w:t>
      </w:r>
      <w:proofErr w:type="spellStart"/>
      <w:r w:rsidR="007822AB" w:rsidRPr="007B0B53">
        <w:rPr>
          <w:rFonts w:cs="Times New Roman"/>
          <w:szCs w:val="24"/>
        </w:rPr>
        <w:t>Loterj</w:t>
      </w:r>
      <w:proofErr w:type="spellEnd"/>
      <w:r w:rsidR="007822AB" w:rsidRPr="007B0B53">
        <w:rPr>
          <w:rFonts w:cs="Times New Roman"/>
          <w:szCs w:val="24"/>
        </w:rPr>
        <w:t xml:space="preserve"> e de R$ 50 mil ao presidente da autarquia. No início do mês, Mendonça deferiu liminar na Ação Cível Originária</w:t>
      </w:r>
      <w:r w:rsidR="007822AB" w:rsidRPr="007B0B53">
        <w:rPr>
          <w:rStyle w:val="Forte"/>
          <w:rFonts w:cs="Times New Roman"/>
          <w:szCs w:val="24"/>
        </w:rPr>
        <w:t> </w:t>
      </w:r>
      <w:r w:rsidR="007822AB" w:rsidRPr="007B0B53">
        <w:rPr>
          <w:rStyle w:val="Forte"/>
          <w:rFonts w:cs="Times New Roman"/>
          <w:b w:val="0"/>
          <w:szCs w:val="24"/>
        </w:rPr>
        <w:t>(ACO) 3696</w:t>
      </w:r>
      <w:r w:rsidR="007822AB" w:rsidRPr="007B0B53">
        <w:rPr>
          <w:rFonts w:cs="Times New Roman"/>
          <w:szCs w:val="24"/>
        </w:rPr>
        <w:t xml:space="preserve"> para suspender regra do edital da </w:t>
      </w:r>
      <w:proofErr w:type="spellStart"/>
      <w:r w:rsidR="007822AB" w:rsidRPr="007B0B53">
        <w:rPr>
          <w:rFonts w:cs="Times New Roman"/>
          <w:szCs w:val="24"/>
        </w:rPr>
        <w:t>Loterj</w:t>
      </w:r>
      <w:proofErr w:type="spellEnd"/>
      <w:r w:rsidR="007822AB" w:rsidRPr="007B0B53">
        <w:rPr>
          <w:rFonts w:cs="Times New Roman"/>
          <w:szCs w:val="24"/>
        </w:rPr>
        <w:t xml:space="preserve"> para credenciamento de empresas para explorar as </w:t>
      </w:r>
      <w:proofErr w:type="spellStart"/>
      <w:r w:rsidR="007822AB" w:rsidRPr="007B0B53">
        <w:rPr>
          <w:rFonts w:cs="Times New Roman"/>
          <w:szCs w:val="24"/>
        </w:rPr>
        <w:t>bets</w:t>
      </w:r>
      <w:proofErr w:type="spellEnd"/>
      <w:r w:rsidR="007822AB" w:rsidRPr="007B0B53">
        <w:rPr>
          <w:rFonts w:cs="Times New Roman"/>
          <w:szCs w:val="24"/>
        </w:rPr>
        <w:t xml:space="preserve"> que dispensava o uso de </w:t>
      </w:r>
      <w:proofErr w:type="spellStart"/>
      <w:r w:rsidR="007822AB" w:rsidRPr="007B0B53">
        <w:rPr>
          <w:rFonts w:cs="Times New Roman"/>
          <w:szCs w:val="24"/>
        </w:rPr>
        <w:t>geolocalização</w:t>
      </w:r>
      <w:proofErr w:type="spellEnd"/>
      <w:r w:rsidR="007822AB" w:rsidRPr="007B0B53">
        <w:rPr>
          <w:rFonts w:cs="Times New Roman"/>
          <w:szCs w:val="24"/>
        </w:rPr>
        <w:t xml:space="preserve">. A norma exigia apenas a declaração do apostador para que se considerasse que as apostas foram feitas dentro do estado. Na ocasião, ele observou que a regra contraria a Lei federal 13.756/2018, que normatiza essas apostas e restringe a atuação das empresas aos estados em que foram credenciadas. Segundo o ministro, a regra do Rio de Janeiro criou uma espécie de “ficção jurídica” sobre os limites territoriais do estado, fragilizando a fiscalização e o controle da atividade lotérica. Em um pedido de esclarecimentos (embargos de declaração) sobre a liminar, a </w:t>
      </w:r>
      <w:proofErr w:type="spellStart"/>
      <w:r w:rsidR="007822AB" w:rsidRPr="007B0B53">
        <w:rPr>
          <w:rFonts w:cs="Times New Roman"/>
          <w:szCs w:val="24"/>
        </w:rPr>
        <w:t>Loterj</w:t>
      </w:r>
      <w:proofErr w:type="spellEnd"/>
      <w:r w:rsidR="007822AB" w:rsidRPr="007B0B53">
        <w:rPr>
          <w:rFonts w:cs="Times New Roman"/>
          <w:szCs w:val="24"/>
        </w:rPr>
        <w:t xml:space="preserve"> relatou dificuldades práticas para cumprir a decisão, que exige o uso de mecanismos eletrônicos de </w:t>
      </w:r>
      <w:proofErr w:type="spellStart"/>
      <w:r w:rsidR="007822AB" w:rsidRPr="007B0B53">
        <w:rPr>
          <w:rFonts w:cs="Times New Roman"/>
          <w:szCs w:val="24"/>
        </w:rPr>
        <w:t>geolocalização</w:t>
      </w:r>
      <w:proofErr w:type="spellEnd"/>
      <w:r w:rsidR="007822AB" w:rsidRPr="007B0B53">
        <w:rPr>
          <w:rFonts w:cs="Times New Roman"/>
          <w:szCs w:val="24"/>
        </w:rPr>
        <w:t xml:space="preserve"> nas apostas. A autarquia pediu que a decisão fosse complementada com orientações para o cumprimento da liminar, além de ampliação do prazo para no mínimo 120 dias. Em sua decisão, Mendonça observou que a decisão anterior foi clara ao determinar a suspensão da exploração de loterias e jogos eletrônicos fora dos limites territoriais do estado e a obrigatoriedade do </w:t>
      </w:r>
      <w:proofErr w:type="spellStart"/>
      <w:r w:rsidR="007822AB" w:rsidRPr="007B0B53">
        <w:rPr>
          <w:rFonts w:cs="Times New Roman"/>
          <w:szCs w:val="24"/>
        </w:rPr>
        <w:t>georreferenciamento</w:t>
      </w:r>
      <w:proofErr w:type="spellEnd"/>
      <w:r w:rsidR="007822AB" w:rsidRPr="007B0B53">
        <w:rPr>
          <w:rFonts w:cs="Times New Roman"/>
          <w:szCs w:val="24"/>
        </w:rPr>
        <w:t>. Segundo ele, a forma e os mecanismos a serem adotados para o cumprimento da decisão é questão técnica inerente ao mercado, e não compete ao Judiciário orientar os procedimentos a serem adotados. “O Poder Judiciário (e o Supremo Tribunal Federal) não se constitui órgão consultivo”, afirmou. Mendonça reiterou que, para explorarem jogos, a União, os estados, o Distrito Federal e as entidades autorizadas devem observar a legislação federal, especialmente em relação ao critério da territorialidade. “A inobservância desses parâmetros, entre outras consequências, implica a suspensão da exploração desse serviço público ou até sua cessação em definitivo”, conclui.</w:t>
      </w:r>
    </w:p>
    <w:p w:rsidR="00494E33" w:rsidRPr="007B0B53" w:rsidRDefault="007822AB" w:rsidP="00494E33">
      <w:pPr>
        <w:spacing w:before="240"/>
        <w:rPr>
          <w:rFonts w:cs="Times New Roman"/>
          <w:szCs w:val="24"/>
        </w:rPr>
      </w:pPr>
      <w:r w:rsidRPr="007B0B53">
        <w:rPr>
          <w:rFonts w:cs="Times New Roman"/>
          <w:szCs w:val="24"/>
        </w:rPr>
        <w:t xml:space="preserve">STF </w:t>
      </w:r>
      <w:r w:rsidR="00494E33" w:rsidRPr="007B0B53">
        <w:rPr>
          <w:rFonts w:cs="Times New Roman"/>
          <w:szCs w:val="24"/>
        </w:rPr>
        <w:t>(ADI 7778</w:t>
      </w:r>
      <w:r w:rsidR="00494E33" w:rsidRPr="007B0B53">
        <w:rPr>
          <w:rStyle w:val="Forte"/>
          <w:rFonts w:cs="Times New Roman"/>
          <w:b w:val="0"/>
          <w:szCs w:val="24"/>
        </w:rPr>
        <w:t xml:space="preserve">, </w:t>
      </w:r>
      <w:r w:rsidR="00494E33" w:rsidRPr="007B0B53">
        <w:rPr>
          <w:rFonts w:cs="Times New Roman"/>
          <w:szCs w:val="24"/>
        </w:rPr>
        <w:t xml:space="preserve">in Notícias STF 22.01.2025) </w:t>
      </w:r>
      <w:proofErr w:type="spellStart"/>
      <w:r w:rsidR="00494E33" w:rsidRPr="007B0B53">
        <w:rPr>
          <w:rFonts w:cs="Times New Roman"/>
          <w:szCs w:val="24"/>
        </w:rPr>
        <w:t>Apib</w:t>
      </w:r>
      <w:proofErr w:type="spellEnd"/>
      <w:r w:rsidR="00494E33" w:rsidRPr="007B0B53">
        <w:rPr>
          <w:rFonts w:cs="Times New Roman"/>
          <w:szCs w:val="24"/>
        </w:rPr>
        <w:t xml:space="preserve"> questiona alterações sobre educação indígena em legislação do Pará - </w:t>
      </w:r>
      <w:r w:rsidR="00494E33" w:rsidRPr="007B0B53">
        <w:rPr>
          <w:rFonts w:cs="Times New Roman"/>
          <w:spacing w:val="-5"/>
          <w:szCs w:val="24"/>
        </w:rPr>
        <w:t xml:space="preserve">Entidade argumenta que nova norma revogou sistema que garante professores em comunidades indígenas. </w:t>
      </w:r>
      <w:r w:rsidR="00494E33" w:rsidRPr="007B0B53">
        <w:rPr>
          <w:rFonts w:cs="Times New Roman"/>
          <w:szCs w:val="24"/>
        </w:rPr>
        <w:t>A Articulação dos Povos Indígenas do Brasil (</w:t>
      </w:r>
      <w:proofErr w:type="spellStart"/>
      <w:r w:rsidR="00494E33" w:rsidRPr="007B0B53">
        <w:rPr>
          <w:rFonts w:cs="Times New Roman"/>
          <w:szCs w:val="24"/>
        </w:rPr>
        <w:t>Apib</w:t>
      </w:r>
      <w:proofErr w:type="spellEnd"/>
      <w:r w:rsidR="00494E33" w:rsidRPr="007B0B53">
        <w:rPr>
          <w:rFonts w:cs="Times New Roman"/>
          <w:szCs w:val="24"/>
        </w:rPr>
        <w:t>) ingressou no Supremo Tribunal Federal (STF) com uma Ação Direta de Inconstitucionalidade (</w:t>
      </w:r>
      <w:r w:rsidR="00494E33" w:rsidRPr="007B0B53">
        <w:rPr>
          <w:rStyle w:val="Forte"/>
          <w:rFonts w:cs="Times New Roman"/>
          <w:b w:val="0"/>
          <w:szCs w:val="24"/>
        </w:rPr>
        <w:t>ADI 7778</w:t>
      </w:r>
      <w:r w:rsidR="00494E33" w:rsidRPr="007B0B53">
        <w:rPr>
          <w:rFonts w:cs="Times New Roman"/>
          <w:szCs w:val="24"/>
        </w:rPr>
        <w:t xml:space="preserve">) contra lei do Pará que alterou regras para a carreira de professores da rede estadual de ensino. Segundo a entidade, a mudança acabou por afetar a continuidade da educação escolar indígena. A ação foi distribuída à ministra </w:t>
      </w:r>
      <w:proofErr w:type="spellStart"/>
      <w:r w:rsidR="00494E33" w:rsidRPr="007B0B53">
        <w:rPr>
          <w:rFonts w:cs="Times New Roman"/>
          <w:szCs w:val="24"/>
        </w:rPr>
        <w:t>Cármen</w:t>
      </w:r>
      <w:proofErr w:type="spellEnd"/>
      <w:r w:rsidR="00494E33" w:rsidRPr="007B0B53">
        <w:rPr>
          <w:rFonts w:cs="Times New Roman"/>
          <w:szCs w:val="24"/>
        </w:rPr>
        <w:t xml:space="preserve"> Lúcia. De acordo com a </w:t>
      </w:r>
      <w:proofErr w:type="spellStart"/>
      <w:r w:rsidR="00494E33" w:rsidRPr="007B0B53">
        <w:rPr>
          <w:rFonts w:cs="Times New Roman"/>
          <w:szCs w:val="24"/>
        </w:rPr>
        <w:t>Apib</w:t>
      </w:r>
      <w:proofErr w:type="spellEnd"/>
      <w:r w:rsidR="00494E33" w:rsidRPr="007B0B53">
        <w:rPr>
          <w:rFonts w:cs="Times New Roman"/>
          <w:szCs w:val="24"/>
        </w:rPr>
        <w:t xml:space="preserve">, a norma revogou dispositivos que estabeleciam uma política de educação em regiões do interior, onde não há ensino regular. Esse sistema garantia, também, a presença de professores em comunidades indígenas e tradicionais. A nova legislação substituiu o modelo de aulas presenciais por aulas online. A associação afirma que, com essa revogação, o chamado Sistema Modular de Ensino Indígena desapareceu da legislação estadual, provocando um cenário de insegurança jurídica. O pedido liminar é para que sejam afastadas interpretações da lei que não incluam a educação indígena e </w:t>
      </w:r>
      <w:r w:rsidR="00494E33" w:rsidRPr="007B0B53">
        <w:rPr>
          <w:rFonts w:cs="Times New Roman"/>
          <w:szCs w:val="24"/>
        </w:rPr>
        <w:lastRenderedPageBreak/>
        <w:t>suas especificidades. Sancionada em dezembro, a Lei estadual 10.820/2024 estabeleceu regras para o magistério público estadual, como plano de cargos, carreiras, jornada de trabalho, entre outros pontos.</w:t>
      </w:r>
    </w:p>
    <w:p w:rsidR="00E32CF2" w:rsidRPr="007B0B53" w:rsidRDefault="00494E33" w:rsidP="00E32199">
      <w:pPr>
        <w:spacing w:before="240"/>
        <w:rPr>
          <w:rFonts w:cs="Times New Roman"/>
          <w:szCs w:val="24"/>
        </w:rPr>
      </w:pPr>
      <w:r w:rsidRPr="007B0B53">
        <w:rPr>
          <w:rFonts w:cs="Times New Roman"/>
          <w:szCs w:val="24"/>
        </w:rPr>
        <w:t xml:space="preserve">STF </w:t>
      </w:r>
      <w:r w:rsidR="00E32CF2" w:rsidRPr="007B0B53">
        <w:rPr>
          <w:rFonts w:cs="Times New Roman"/>
          <w:szCs w:val="24"/>
        </w:rPr>
        <w:t>(ADPF 1204</w:t>
      </w:r>
      <w:r w:rsidR="00E32CF2" w:rsidRPr="007B0B53">
        <w:rPr>
          <w:rStyle w:val="Forte"/>
          <w:rFonts w:cs="Times New Roman"/>
          <w:b w:val="0"/>
          <w:szCs w:val="24"/>
        </w:rPr>
        <w:t xml:space="preserve">, </w:t>
      </w:r>
      <w:r w:rsidR="00E32CF2" w:rsidRPr="007B0B53">
        <w:rPr>
          <w:rFonts w:cs="Times New Roman"/>
          <w:szCs w:val="24"/>
        </w:rPr>
        <w:t xml:space="preserve">in Notícias STF 20.01.2025) Associação pede ao STF inclusão de alunos de ensino a distância em programa do governo federal - </w:t>
      </w:r>
      <w:r w:rsidR="00E32CF2" w:rsidRPr="007B0B53">
        <w:rPr>
          <w:rFonts w:cs="Times New Roman"/>
          <w:spacing w:val="-5"/>
          <w:szCs w:val="24"/>
        </w:rPr>
        <w:t xml:space="preserve">Programa Pé-de-Meia Licenciaturas incentiva ingresso no magistério. </w:t>
      </w:r>
      <w:r w:rsidR="00E32CF2" w:rsidRPr="007B0B53">
        <w:rPr>
          <w:rFonts w:cs="Times New Roman"/>
          <w:szCs w:val="24"/>
        </w:rPr>
        <w:t xml:space="preserve">A Associação Brasileira dos Estudantes de Educação a Distância (ABE-EAD) pediu ao Supremo Tribunal Federal (STF) que assegure aos alunos de cursos de licenciatura na modalidade EAD acesso ao Pé-de-Meia Licenciaturas, programa do governo federal que oferece incentivo para atrair estudantes com alto desempenho no Exame Nacional do Ensino Médio (Enem) para cursos presenciais de licenciatura. A matéria é objeto da Arguição de Descumprimento de Preceito Fundamental (APDF) 1204, distribuída ao ministro Dias </w:t>
      </w:r>
      <w:proofErr w:type="spellStart"/>
      <w:r w:rsidR="00E32CF2" w:rsidRPr="007B0B53">
        <w:rPr>
          <w:rFonts w:cs="Times New Roman"/>
          <w:szCs w:val="24"/>
        </w:rPr>
        <w:t>Toffoli</w:t>
      </w:r>
      <w:proofErr w:type="spellEnd"/>
      <w:r w:rsidR="00E32CF2" w:rsidRPr="007B0B53">
        <w:rPr>
          <w:rFonts w:cs="Times New Roman"/>
          <w:szCs w:val="24"/>
        </w:rPr>
        <w:t>, que pediu informações à Coordenação de Aperfeiçoamento de Pessoal de Nível Superior (Capes) para subsidiar a análise do pedido. A “Bolsa de Atratividade e Formação para a Docência – Pé-de-Meia Licenciaturas” está regulamentada pela Portaria 6/2025 da Capes, órgão do Ministério da Educação. O programa prevê repasse mensal de R$ 700 durante o período regular do curso, prorrogáveis por mais 12 meses em casos excepcionais. Estabelece, ainda, um incentivo à docência, na forma de poupança, de até 48 mensalidades de R$ 350, com saque após ingresso em uma rede pública de ensino em até cinco anos. O objetivo é oferecer apoio para que estudantes possam se dedicar integralmente às atividades acadêmicas e de estágio, além de incentivar o ingresso na carreira docente. Ao questionar a portaria, a associação argumenta que a norma discrimina o sistema de ensino a distância e cria limitação injustificada para acessar a bolsa de atratividade. Segundo a ABE-EAD, a medida nega a política de fomento do ensino a distância, conforme estabelecido no artigo 80 da Lei de Diretrizes e Bases da Educação (LDB). Sustenta, ainda, que a educação a distância tem se consolidado como uma ferramenta essencial para promover a inclusão educacional e social no Brasil, oferecendo acesso à educação superior a milhões de brasileiros com dificuldades de frequentar o ensino presencial.</w:t>
      </w:r>
    </w:p>
    <w:p w:rsidR="00850211" w:rsidRPr="007B0B53" w:rsidRDefault="00E32CF2" w:rsidP="00E32199">
      <w:pPr>
        <w:spacing w:before="240"/>
        <w:rPr>
          <w:rFonts w:eastAsia="Times New Roman" w:cs="Times New Roman"/>
          <w:spacing w:val="-5"/>
          <w:szCs w:val="24"/>
          <w:lang w:eastAsia="pt-BR"/>
        </w:rPr>
      </w:pPr>
      <w:r w:rsidRPr="007B0B53">
        <w:rPr>
          <w:rFonts w:cs="Times New Roman"/>
          <w:szCs w:val="24"/>
        </w:rPr>
        <w:t xml:space="preserve">STF </w:t>
      </w:r>
      <w:r w:rsidR="00850211" w:rsidRPr="007B0B53">
        <w:rPr>
          <w:rFonts w:cs="Times New Roman"/>
          <w:szCs w:val="24"/>
        </w:rPr>
        <w:t>(</w:t>
      </w:r>
      <w:r w:rsidR="00850211" w:rsidRPr="007B0B53">
        <w:rPr>
          <w:rStyle w:val="Forte"/>
          <w:rFonts w:cs="Times New Roman"/>
          <w:b w:val="0"/>
          <w:szCs w:val="24"/>
        </w:rPr>
        <w:t xml:space="preserve">ACO 3696, </w:t>
      </w:r>
      <w:r w:rsidR="00850211" w:rsidRPr="007B0B53">
        <w:rPr>
          <w:rFonts w:cs="Times New Roman"/>
          <w:szCs w:val="24"/>
        </w:rPr>
        <w:t xml:space="preserve">in Notícias STF 02.01.2025) </w:t>
      </w:r>
      <w:r w:rsidR="00850211" w:rsidRPr="007B0B53">
        <w:rPr>
          <w:rFonts w:eastAsia="Times New Roman" w:cs="Times New Roman"/>
          <w:bCs/>
          <w:szCs w:val="24"/>
          <w:lang w:eastAsia="pt-BR"/>
        </w:rPr>
        <w:t>STF suspende regra que permitia a loterias do RJ receber apostas de fora do estado</w:t>
      </w:r>
      <w:r w:rsidR="00850211" w:rsidRPr="007B0B53">
        <w:rPr>
          <w:rFonts w:cs="Times New Roman"/>
          <w:szCs w:val="24"/>
        </w:rPr>
        <w:t xml:space="preserve"> - </w:t>
      </w:r>
      <w:r w:rsidR="00850211" w:rsidRPr="007B0B53">
        <w:rPr>
          <w:rFonts w:eastAsia="Times New Roman" w:cs="Times New Roman"/>
          <w:spacing w:val="-5"/>
          <w:szCs w:val="24"/>
          <w:lang w:eastAsia="pt-BR"/>
        </w:rPr>
        <w:t xml:space="preserve">Ministro André Mendonça observou que apenas a União pode explorar loterias em todo o território nacional. </w:t>
      </w:r>
      <w:r w:rsidR="00850211" w:rsidRPr="007B0B53">
        <w:rPr>
          <w:rFonts w:cs="Times New Roman"/>
          <w:szCs w:val="24"/>
        </w:rPr>
        <w:t>O ministro André Mendonça, do Supremo Tribunal Federal (STF), determinou à Loteria do Estado do Rio de Janeiro (</w:t>
      </w:r>
      <w:proofErr w:type="spellStart"/>
      <w:r w:rsidR="00850211" w:rsidRPr="007B0B53">
        <w:rPr>
          <w:rFonts w:cs="Times New Roman"/>
          <w:szCs w:val="24"/>
        </w:rPr>
        <w:t>Loterj</w:t>
      </w:r>
      <w:proofErr w:type="spellEnd"/>
      <w:r w:rsidR="00850211" w:rsidRPr="007B0B53">
        <w:rPr>
          <w:rFonts w:cs="Times New Roman"/>
          <w:szCs w:val="24"/>
        </w:rPr>
        <w:t>) e ao Estado do Rio de Janeiro que parem de receber apostas esportivas de quota fixa (</w:t>
      </w:r>
      <w:proofErr w:type="spellStart"/>
      <w:r w:rsidR="00850211" w:rsidRPr="007B0B53">
        <w:rPr>
          <w:rFonts w:cs="Times New Roman"/>
          <w:szCs w:val="24"/>
        </w:rPr>
        <w:t>bets</w:t>
      </w:r>
      <w:proofErr w:type="spellEnd"/>
      <w:r w:rsidR="00850211" w:rsidRPr="007B0B53">
        <w:rPr>
          <w:rFonts w:cs="Times New Roman"/>
          <w:szCs w:val="24"/>
        </w:rPr>
        <w:t xml:space="preserve">) feitas fora de seu território. O prazo para a adoção de providências é de cinco dias, com o retorno da obrigatoriedade do uso de mecanismos eletrônicos de </w:t>
      </w:r>
      <w:proofErr w:type="spellStart"/>
      <w:r w:rsidR="00850211" w:rsidRPr="007B0B53">
        <w:rPr>
          <w:rFonts w:cs="Times New Roman"/>
          <w:szCs w:val="24"/>
        </w:rPr>
        <w:t>geolocalização</w:t>
      </w:r>
      <w:proofErr w:type="spellEnd"/>
      <w:r w:rsidR="00850211" w:rsidRPr="007B0B53">
        <w:rPr>
          <w:rFonts w:cs="Times New Roman"/>
          <w:szCs w:val="24"/>
        </w:rPr>
        <w:t xml:space="preserve">. Na liminar, Mendonça suspende a eficácia de regra do edital da </w:t>
      </w:r>
      <w:proofErr w:type="spellStart"/>
      <w:r w:rsidR="00850211" w:rsidRPr="007B0B53">
        <w:rPr>
          <w:rFonts w:cs="Times New Roman"/>
          <w:szCs w:val="24"/>
        </w:rPr>
        <w:t>Loterj</w:t>
      </w:r>
      <w:proofErr w:type="spellEnd"/>
      <w:r w:rsidR="00850211" w:rsidRPr="007B0B53">
        <w:rPr>
          <w:rFonts w:cs="Times New Roman"/>
          <w:szCs w:val="24"/>
        </w:rPr>
        <w:t xml:space="preserve"> para credenciamento de empresas para explorar as </w:t>
      </w:r>
      <w:proofErr w:type="spellStart"/>
      <w:r w:rsidR="00850211" w:rsidRPr="007B0B53">
        <w:rPr>
          <w:rFonts w:cs="Times New Roman"/>
          <w:szCs w:val="24"/>
        </w:rPr>
        <w:t>bets</w:t>
      </w:r>
      <w:proofErr w:type="spellEnd"/>
      <w:r w:rsidR="00850211" w:rsidRPr="007B0B53">
        <w:rPr>
          <w:rFonts w:cs="Times New Roman"/>
          <w:szCs w:val="24"/>
        </w:rPr>
        <w:t xml:space="preserve"> no estado. Para o ministro, a medida favorece a exploração interestadual desse serviço público pelo Rio de Janeiro, em detrimento da competência da União e de outros estados. Inicialmente, o edital exigia que as empresas interessadas tivessem sistema de </w:t>
      </w:r>
      <w:proofErr w:type="spellStart"/>
      <w:r w:rsidR="00850211" w:rsidRPr="007B0B53">
        <w:rPr>
          <w:rFonts w:cs="Times New Roman"/>
          <w:szCs w:val="24"/>
        </w:rPr>
        <w:t>geolocalização</w:t>
      </w:r>
      <w:proofErr w:type="spellEnd"/>
      <w:r w:rsidR="00850211" w:rsidRPr="007B0B53">
        <w:rPr>
          <w:rFonts w:cs="Times New Roman"/>
          <w:szCs w:val="24"/>
        </w:rPr>
        <w:t xml:space="preserve"> para garantir que apostas em tempo real fossem feitas somente no Rio de Janeiro, além de processos que bloqueassem o acesso fora dos limites territoriais do estado. Contudo, o edital foi retificado, e essas exigências acabaram. Na Ação Cível Originária </w:t>
      </w:r>
      <w:r w:rsidR="00850211" w:rsidRPr="007B0B53">
        <w:rPr>
          <w:rStyle w:val="Forte"/>
          <w:rFonts w:cs="Times New Roman"/>
          <w:b w:val="0"/>
          <w:szCs w:val="24"/>
        </w:rPr>
        <w:t>(ACO) 3696</w:t>
      </w:r>
      <w:r w:rsidR="00850211" w:rsidRPr="007B0B53">
        <w:rPr>
          <w:rFonts w:cs="Times New Roman"/>
          <w:szCs w:val="24"/>
        </w:rPr>
        <w:t xml:space="preserve">, a União alega que a norma invade sua competência para prestar e explorar loterias em âmbito nacional e incentiva a concorrência predatória entre os entes da federação. </w:t>
      </w:r>
      <w:r w:rsidR="00850211" w:rsidRPr="007B0B53">
        <w:rPr>
          <w:rStyle w:val="Forte"/>
          <w:rFonts w:cs="Times New Roman"/>
          <w:b w:val="0"/>
          <w:bCs w:val="0"/>
          <w:szCs w:val="24"/>
        </w:rPr>
        <w:t xml:space="preserve">Âmbito nacional - </w:t>
      </w:r>
      <w:r w:rsidR="00850211" w:rsidRPr="007B0B53">
        <w:rPr>
          <w:rFonts w:cs="Times New Roman"/>
          <w:szCs w:val="24"/>
        </w:rPr>
        <w:t>Ao deferir a liminar, o ministro observou que a retificação do edital exige apenas a declaração do apostador para que se considere que as apostas foram feitas no território do Estado do Rio de Janeiro. Essa regra, a seu ver, contraria a Lei federal 13.756/2018, que normatiza essas apostas, e cria uma espécie de “ficção jurídica” sobre os limites territoriais do estado. “A flexibilização dos critérios de territorialidade fragiliza a fiscalização e o controle da atividade lotérica, com potenciais prejuízos, entre outros, ao pacto federativo”, afirmou. A liminar será submetida a referendo do Plenário na sessão virtual a ser realizada entre 14 e 21/2/2025.</w:t>
      </w:r>
    </w:p>
    <w:p w:rsidR="00850211" w:rsidRPr="007B0B53" w:rsidRDefault="00850211" w:rsidP="00E32199">
      <w:pPr>
        <w:spacing w:before="240"/>
        <w:rPr>
          <w:rFonts w:cs="Times New Roman"/>
          <w:szCs w:val="24"/>
        </w:rPr>
      </w:pPr>
    </w:p>
    <w:p w:rsidR="00850211" w:rsidRPr="007B0B53" w:rsidRDefault="00850211" w:rsidP="00E32199">
      <w:pPr>
        <w:spacing w:before="240"/>
        <w:rPr>
          <w:rFonts w:cs="Times New Roman"/>
          <w:szCs w:val="24"/>
        </w:rPr>
      </w:pPr>
    </w:p>
    <w:p w:rsidR="007B0B53" w:rsidRPr="007B0B53" w:rsidRDefault="007B0B53">
      <w:pPr>
        <w:spacing w:before="240"/>
        <w:rPr>
          <w:rFonts w:cs="Times New Roman"/>
          <w:szCs w:val="24"/>
        </w:rPr>
      </w:pPr>
    </w:p>
    <w:sectPr w:rsidR="007B0B53" w:rsidRPr="007B0B53" w:rsidSect="00793837">
      <w:pgSz w:w="11910" w:h="16840" w:code="9"/>
      <w:pgMar w:top="851" w:right="851" w:bottom="851" w:left="1020"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322C0A"/>
    <w:multiLevelType w:val="multilevel"/>
    <w:tmpl w:val="560A5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17"/>
    <w:rsid w:val="00003CE6"/>
    <w:rsid w:val="00020909"/>
    <w:rsid w:val="00041EEE"/>
    <w:rsid w:val="000736A1"/>
    <w:rsid w:val="0009214F"/>
    <w:rsid w:val="00094415"/>
    <w:rsid w:val="00096F4C"/>
    <w:rsid w:val="000A7C5D"/>
    <w:rsid w:val="000B3689"/>
    <w:rsid w:val="000D16EC"/>
    <w:rsid w:val="000D364A"/>
    <w:rsid w:val="000D5750"/>
    <w:rsid w:val="000E4AFA"/>
    <w:rsid w:val="000F6A5F"/>
    <w:rsid w:val="001151BA"/>
    <w:rsid w:val="00145CCC"/>
    <w:rsid w:val="0015499C"/>
    <w:rsid w:val="0016736D"/>
    <w:rsid w:val="00177CEB"/>
    <w:rsid w:val="001938E6"/>
    <w:rsid w:val="001B16CD"/>
    <w:rsid w:val="001B5273"/>
    <w:rsid w:val="001D508A"/>
    <w:rsid w:val="001D5387"/>
    <w:rsid w:val="001F77F9"/>
    <w:rsid w:val="0020237D"/>
    <w:rsid w:val="002044F8"/>
    <w:rsid w:val="00211EF6"/>
    <w:rsid w:val="002173F0"/>
    <w:rsid w:val="00222552"/>
    <w:rsid w:val="00222D0E"/>
    <w:rsid w:val="00224E1B"/>
    <w:rsid w:val="00233C26"/>
    <w:rsid w:val="0024341B"/>
    <w:rsid w:val="00252C56"/>
    <w:rsid w:val="00255BC8"/>
    <w:rsid w:val="0026343E"/>
    <w:rsid w:val="00277693"/>
    <w:rsid w:val="002846ED"/>
    <w:rsid w:val="002A16C6"/>
    <w:rsid w:val="002A19D4"/>
    <w:rsid w:val="002B07F8"/>
    <w:rsid w:val="002B1D5E"/>
    <w:rsid w:val="002C566F"/>
    <w:rsid w:val="002E162D"/>
    <w:rsid w:val="002F2241"/>
    <w:rsid w:val="002F48CD"/>
    <w:rsid w:val="003027D6"/>
    <w:rsid w:val="00305970"/>
    <w:rsid w:val="003319CB"/>
    <w:rsid w:val="00337617"/>
    <w:rsid w:val="003542D7"/>
    <w:rsid w:val="00355DCE"/>
    <w:rsid w:val="00361365"/>
    <w:rsid w:val="003763E0"/>
    <w:rsid w:val="00377CDD"/>
    <w:rsid w:val="00395610"/>
    <w:rsid w:val="003A0F97"/>
    <w:rsid w:val="003A3960"/>
    <w:rsid w:val="003A6976"/>
    <w:rsid w:val="003C114F"/>
    <w:rsid w:val="003D4D6C"/>
    <w:rsid w:val="00430776"/>
    <w:rsid w:val="00431033"/>
    <w:rsid w:val="00435EB2"/>
    <w:rsid w:val="0047540C"/>
    <w:rsid w:val="00494E33"/>
    <w:rsid w:val="004969AE"/>
    <w:rsid w:val="00496A16"/>
    <w:rsid w:val="004A295C"/>
    <w:rsid w:val="004C1C5B"/>
    <w:rsid w:val="004C72F4"/>
    <w:rsid w:val="004D6BC6"/>
    <w:rsid w:val="00522435"/>
    <w:rsid w:val="005276F7"/>
    <w:rsid w:val="00535B0D"/>
    <w:rsid w:val="00543A14"/>
    <w:rsid w:val="00560908"/>
    <w:rsid w:val="0058220A"/>
    <w:rsid w:val="005C052B"/>
    <w:rsid w:val="005D4587"/>
    <w:rsid w:val="005E2448"/>
    <w:rsid w:val="005E636D"/>
    <w:rsid w:val="00600A9E"/>
    <w:rsid w:val="006135D5"/>
    <w:rsid w:val="00632137"/>
    <w:rsid w:val="006403A5"/>
    <w:rsid w:val="00640675"/>
    <w:rsid w:val="00640DE2"/>
    <w:rsid w:val="006616F5"/>
    <w:rsid w:val="006716E6"/>
    <w:rsid w:val="0067705E"/>
    <w:rsid w:val="00677710"/>
    <w:rsid w:val="006967E8"/>
    <w:rsid w:val="006A25B4"/>
    <w:rsid w:val="006B2153"/>
    <w:rsid w:val="006C3859"/>
    <w:rsid w:val="006C7FAD"/>
    <w:rsid w:val="006F3227"/>
    <w:rsid w:val="00743D71"/>
    <w:rsid w:val="00743E24"/>
    <w:rsid w:val="00771449"/>
    <w:rsid w:val="00781AF8"/>
    <w:rsid w:val="007822AB"/>
    <w:rsid w:val="00791365"/>
    <w:rsid w:val="00792D51"/>
    <w:rsid w:val="00793837"/>
    <w:rsid w:val="00793B62"/>
    <w:rsid w:val="007B0B53"/>
    <w:rsid w:val="007B62EA"/>
    <w:rsid w:val="007E0738"/>
    <w:rsid w:val="007E6B57"/>
    <w:rsid w:val="007F0A17"/>
    <w:rsid w:val="007F652E"/>
    <w:rsid w:val="008011AD"/>
    <w:rsid w:val="008019E8"/>
    <w:rsid w:val="00812756"/>
    <w:rsid w:val="00812FBC"/>
    <w:rsid w:val="00817471"/>
    <w:rsid w:val="0082143B"/>
    <w:rsid w:val="00824705"/>
    <w:rsid w:val="00833B6E"/>
    <w:rsid w:val="00837C09"/>
    <w:rsid w:val="00850211"/>
    <w:rsid w:val="008524E3"/>
    <w:rsid w:val="00871462"/>
    <w:rsid w:val="00892D76"/>
    <w:rsid w:val="008A700A"/>
    <w:rsid w:val="008B35FB"/>
    <w:rsid w:val="008B3E3B"/>
    <w:rsid w:val="008D6DF5"/>
    <w:rsid w:val="00905BE4"/>
    <w:rsid w:val="00914AE2"/>
    <w:rsid w:val="00916083"/>
    <w:rsid w:val="00922BA4"/>
    <w:rsid w:val="00923D08"/>
    <w:rsid w:val="00927FD5"/>
    <w:rsid w:val="00932613"/>
    <w:rsid w:val="00937D7D"/>
    <w:rsid w:val="009407F0"/>
    <w:rsid w:val="00944530"/>
    <w:rsid w:val="00965444"/>
    <w:rsid w:val="009775B2"/>
    <w:rsid w:val="00987F3D"/>
    <w:rsid w:val="009A2EE5"/>
    <w:rsid w:val="009A3A8C"/>
    <w:rsid w:val="009C05B8"/>
    <w:rsid w:val="009C4FA6"/>
    <w:rsid w:val="009C6761"/>
    <w:rsid w:val="009D480F"/>
    <w:rsid w:val="009D6C23"/>
    <w:rsid w:val="009E3648"/>
    <w:rsid w:val="009E7795"/>
    <w:rsid w:val="00A0238D"/>
    <w:rsid w:val="00A34AD6"/>
    <w:rsid w:val="00A35C86"/>
    <w:rsid w:val="00A36C52"/>
    <w:rsid w:val="00A41D9E"/>
    <w:rsid w:val="00A5301A"/>
    <w:rsid w:val="00A573F6"/>
    <w:rsid w:val="00A614D3"/>
    <w:rsid w:val="00AA5DD9"/>
    <w:rsid w:val="00AB6906"/>
    <w:rsid w:val="00AD37A6"/>
    <w:rsid w:val="00AE21ED"/>
    <w:rsid w:val="00AF13A4"/>
    <w:rsid w:val="00AF2D9F"/>
    <w:rsid w:val="00B04127"/>
    <w:rsid w:val="00B20084"/>
    <w:rsid w:val="00B2262C"/>
    <w:rsid w:val="00B37256"/>
    <w:rsid w:val="00B4699B"/>
    <w:rsid w:val="00B67414"/>
    <w:rsid w:val="00B84176"/>
    <w:rsid w:val="00B931D3"/>
    <w:rsid w:val="00BB33CD"/>
    <w:rsid w:val="00BF32FA"/>
    <w:rsid w:val="00BF3F45"/>
    <w:rsid w:val="00BF4496"/>
    <w:rsid w:val="00C065C3"/>
    <w:rsid w:val="00C132AB"/>
    <w:rsid w:val="00C235EB"/>
    <w:rsid w:val="00C263C0"/>
    <w:rsid w:val="00C44938"/>
    <w:rsid w:val="00C7170C"/>
    <w:rsid w:val="00C75960"/>
    <w:rsid w:val="00C81B27"/>
    <w:rsid w:val="00C914C7"/>
    <w:rsid w:val="00CA5DF9"/>
    <w:rsid w:val="00CA7E71"/>
    <w:rsid w:val="00CB3EFA"/>
    <w:rsid w:val="00CC025D"/>
    <w:rsid w:val="00CC15DD"/>
    <w:rsid w:val="00CD5E46"/>
    <w:rsid w:val="00CF24D3"/>
    <w:rsid w:val="00D07676"/>
    <w:rsid w:val="00D249FB"/>
    <w:rsid w:val="00D44C94"/>
    <w:rsid w:val="00D63586"/>
    <w:rsid w:val="00D63871"/>
    <w:rsid w:val="00D66F5E"/>
    <w:rsid w:val="00D76795"/>
    <w:rsid w:val="00D85540"/>
    <w:rsid w:val="00D870F5"/>
    <w:rsid w:val="00D963E1"/>
    <w:rsid w:val="00DA3860"/>
    <w:rsid w:val="00DB713E"/>
    <w:rsid w:val="00DD7F74"/>
    <w:rsid w:val="00DF0B33"/>
    <w:rsid w:val="00E16AE8"/>
    <w:rsid w:val="00E21EDF"/>
    <w:rsid w:val="00E23DB0"/>
    <w:rsid w:val="00E30E33"/>
    <w:rsid w:val="00E32199"/>
    <w:rsid w:val="00E32CF2"/>
    <w:rsid w:val="00E40D4B"/>
    <w:rsid w:val="00E64BE8"/>
    <w:rsid w:val="00E80C2F"/>
    <w:rsid w:val="00EA2590"/>
    <w:rsid w:val="00EA4A65"/>
    <w:rsid w:val="00EB62BD"/>
    <w:rsid w:val="00EC7CCF"/>
    <w:rsid w:val="00ED448B"/>
    <w:rsid w:val="00EE1B4A"/>
    <w:rsid w:val="00EF0477"/>
    <w:rsid w:val="00EF68A2"/>
    <w:rsid w:val="00F07F1E"/>
    <w:rsid w:val="00F315E9"/>
    <w:rsid w:val="00F317E1"/>
    <w:rsid w:val="00F350D5"/>
    <w:rsid w:val="00F361DD"/>
    <w:rsid w:val="00F455CB"/>
    <w:rsid w:val="00F51C08"/>
    <w:rsid w:val="00F52FA5"/>
    <w:rsid w:val="00F6026C"/>
    <w:rsid w:val="00F6219B"/>
    <w:rsid w:val="00F633B8"/>
    <w:rsid w:val="00F6596E"/>
    <w:rsid w:val="00F71E60"/>
    <w:rsid w:val="00F8792C"/>
    <w:rsid w:val="00FA1239"/>
    <w:rsid w:val="00FA1676"/>
    <w:rsid w:val="00FA5C65"/>
    <w:rsid w:val="00FD4579"/>
    <w:rsid w:val="00FE77A6"/>
    <w:rsid w:val="00FF4BF2"/>
    <w:rsid w:val="00FF70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9A3BA1-B393-4E54-A60B-F6A619339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before="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0E4AF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semiHidden/>
    <w:unhideWhenUsed/>
    <w:qFormat/>
    <w:rsid w:val="002E162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har"/>
    <w:uiPriority w:val="9"/>
    <w:qFormat/>
    <w:rsid w:val="00850211"/>
    <w:pPr>
      <w:spacing w:before="100" w:beforeAutospacing="1" w:after="100" w:afterAutospacing="1"/>
      <w:jc w:val="left"/>
      <w:outlineLvl w:val="2"/>
    </w:pPr>
    <w:rPr>
      <w:rFonts w:eastAsia="Times New Roman" w:cs="Times New Roman"/>
      <w:b/>
      <w:bCs/>
      <w:sz w:val="27"/>
      <w:szCs w:val="27"/>
      <w:lang w:eastAsia="pt-BR"/>
    </w:rPr>
  </w:style>
  <w:style w:type="paragraph" w:styleId="Ttulo5">
    <w:name w:val="heading 5"/>
    <w:basedOn w:val="Normal"/>
    <w:next w:val="Normal"/>
    <w:link w:val="Ttulo5Char"/>
    <w:uiPriority w:val="9"/>
    <w:unhideWhenUsed/>
    <w:qFormat/>
    <w:rsid w:val="00850211"/>
    <w:pPr>
      <w:keepNext/>
      <w:keepLines/>
      <w:spacing w:before="40"/>
      <w:outlineLvl w:val="4"/>
    </w:pPr>
    <w:rPr>
      <w:rFonts w:asciiTheme="majorHAnsi" w:eastAsiaTheme="majorEastAsia" w:hAnsiTheme="majorHAnsi" w:cstheme="majorBidi"/>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850211"/>
    <w:rPr>
      <w:rFonts w:eastAsia="Times New Roman" w:cs="Times New Roman"/>
      <w:b/>
      <w:bCs/>
      <w:sz w:val="27"/>
      <w:szCs w:val="27"/>
      <w:lang w:eastAsia="pt-BR"/>
    </w:rPr>
  </w:style>
  <w:style w:type="paragraph" w:styleId="NormalWeb">
    <w:name w:val="Normal (Web)"/>
    <w:basedOn w:val="Normal"/>
    <w:uiPriority w:val="99"/>
    <w:unhideWhenUsed/>
    <w:rsid w:val="00850211"/>
    <w:pPr>
      <w:spacing w:before="100" w:beforeAutospacing="1" w:after="100" w:afterAutospacing="1"/>
      <w:jc w:val="left"/>
    </w:pPr>
    <w:rPr>
      <w:rFonts w:eastAsia="Times New Roman" w:cs="Times New Roman"/>
      <w:szCs w:val="24"/>
      <w:lang w:eastAsia="pt-BR"/>
    </w:rPr>
  </w:style>
  <w:style w:type="character" w:customStyle="1" w:styleId="Ttulo5Char">
    <w:name w:val="Título 5 Char"/>
    <w:basedOn w:val="Fontepargpadro"/>
    <w:link w:val="Ttulo5"/>
    <w:uiPriority w:val="9"/>
    <w:rsid w:val="00850211"/>
    <w:rPr>
      <w:rFonts w:asciiTheme="majorHAnsi" w:eastAsiaTheme="majorEastAsia" w:hAnsiTheme="majorHAnsi" w:cstheme="majorBidi"/>
      <w:color w:val="2E74B5" w:themeColor="accent1" w:themeShade="BF"/>
    </w:rPr>
  </w:style>
  <w:style w:type="character" w:styleId="Forte">
    <w:name w:val="Strong"/>
    <w:basedOn w:val="Fontepargpadro"/>
    <w:uiPriority w:val="22"/>
    <w:qFormat/>
    <w:rsid w:val="00850211"/>
    <w:rPr>
      <w:b/>
      <w:bCs/>
    </w:rPr>
  </w:style>
  <w:style w:type="character" w:styleId="Hyperlink">
    <w:name w:val="Hyperlink"/>
    <w:basedOn w:val="Fontepargpadro"/>
    <w:uiPriority w:val="99"/>
    <w:semiHidden/>
    <w:unhideWhenUsed/>
    <w:rsid w:val="00850211"/>
    <w:rPr>
      <w:color w:val="0000FF"/>
      <w:u w:val="single"/>
    </w:rPr>
  </w:style>
  <w:style w:type="character" w:customStyle="1" w:styleId="Ttulo2Char">
    <w:name w:val="Título 2 Char"/>
    <w:basedOn w:val="Fontepargpadro"/>
    <w:link w:val="Ttulo2"/>
    <w:uiPriority w:val="9"/>
    <w:semiHidden/>
    <w:rsid w:val="002E162D"/>
    <w:rPr>
      <w:rFonts w:asciiTheme="majorHAnsi" w:eastAsiaTheme="majorEastAsia" w:hAnsiTheme="majorHAnsi" w:cstheme="majorBidi"/>
      <w:color w:val="2E74B5" w:themeColor="accent1" w:themeShade="BF"/>
      <w:sz w:val="26"/>
      <w:szCs w:val="26"/>
    </w:rPr>
  </w:style>
  <w:style w:type="character" w:styleId="nfase">
    <w:name w:val="Emphasis"/>
    <w:basedOn w:val="Fontepargpadro"/>
    <w:uiPriority w:val="20"/>
    <w:qFormat/>
    <w:rsid w:val="00937D7D"/>
    <w:rPr>
      <w:i/>
      <w:iCs/>
    </w:rPr>
  </w:style>
  <w:style w:type="character" w:customStyle="1" w:styleId="Ttulo1Char">
    <w:name w:val="Título 1 Char"/>
    <w:basedOn w:val="Fontepargpadro"/>
    <w:link w:val="Ttulo1"/>
    <w:uiPriority w:val="9"/>
    <w:rsid w:val="000E4AFA"/>
    <w:rPr>
      <w:rFonts w:asciiTheme="majorHAnsi" w:eastAsiaTheme="majorEastAsia" w:hAnsiTheme="majorHAnsi" w:cstheme="majorBidi"/>
      <w:color w:val="2E74B5" w:themeColor="accent1" w:themeShade="BF"/>
      <w:sz w:val="32"/>
      <w:szCs w:val="32"/>
    </w:rPr>
  </w:style>
  <w:style w:type="character" w:customStyle="1" w:styleId="spelle">
    <w:name w:val="spelle"/>
    <w:basedOn w:val="Fontepargpadro"/>
    <w:rsid w:val="0016736D"/>
  </w:style>
  <w:style w:type="character" w:customStyle="1" w:styleId="sc-cdd47be7-0">
    <w:name w:val="sc-cdd47be7-0"/>
    <w:basedOn w:val="Fontepargpadro"/>
    <w:rsid w:val="001B16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5006">
      <w:bodyDiv w:val="1"/>
      <w:marLeft w:val="0"/>
      <w:marRight w:val="0"/>
      <w:marTop w:val="0"/>
      <w:marBottom w:val="0"/>
      <w:divBdr>
        <w:top w:val="none" w:sz="0" w:space="0" w:color="auto"/>
        <w:left w:val="none" w:sz="0" w:space="0" w:color="auto"/>
        <w:bottom w:val="none" w:sz="0" w:space="0" w:color="auto"/>
        <w:right w:val="none" w:sz="0" w:space="0" w:color="auto"/>
      </w:divBdr>
      <w:divsChild>
        <w:div w:id="2071034682">
          <w:marLeft w:val="0"/>
          <w:marRight w:val="0"/>
          <w:marTop w:val="0"/>
          <w:marBottom w:val="0"/>
          <w:divBdr>
            <w:top w:val="none" w:sz="0" w:space="0" w:color="auto"/>
            <w:left w:val="none" w:sz="0" w:space="0" w:color="auto"/>
            <w:bottom w:val="none" w:sz="0" w:space="0" w:color="auto"/>
            <w:right w:val="none" w:sz="0" w:space="0" w:color="auto"/>
          </w:divBdr>
        </w:div>
      </w:divsChild>
    </w:div>
    <w:div w:id="18744774">
      <w:bodyDiv w:val="1"/>
      <w:marLeft w:val="0"/>
      <w:marRight w:val="0"/>
      <w:marTop w:val="0"/>
      <w:marBottom w:val="0"/>
      <w:divBdr>
        <w:top w:val="none" w:sz="0" w:space="0" w:color="auto"/>
        <w:left w:val="none" w:sz="0" w:space="0" w:color="auto"/>
        <w:bottom w:val="none" w:sz="0" w:space="0" w:color="auto"/>
        <w:right w:val="none" w:sz="0" w:space="0" w:color="auto"/>
      </w:divBdr>
      <w:divsChild>
        <w:div w:id="235211166">
          <w:marLeft w:val="0"/>
          <w:marRight w:val="0"/>
          <w:marTop w:val="0"/>
          <w:marBottom w:val="0"/>
          <w:divBdr>
            <w:top w:val="none" w:sz="0" w:space="0" w:color="auto"/>
            <w:left w:val="none" w:sz="0" w:space="0" w:color="auto"/>
            <w:bottom w:val="none" w:sz="0" w:space="0" w:color="auto"/>
            <w:right w:val="none" w:sz="0" w:space="0" w:color="auto"/>
          </w:divBdr>
        </w:div>
      </w:divsChild>
    </w:div>
    <w:div w:id="40902826">
      <w:bodyDiv w:val="1"/>
      <w:marLeft w:val="0"/>
      <w:marRight w:val="0"/>
      <w:marTop w:val="0"/>
      <w:marBottom w:val="0"/>
      <w:divBdr>
        <w:top w:val="none" w:sz="0" w:space="0" w:color="auto"/>
        <w:left w:val="none" w:sz="0" w:space="0" w:color="auto"/>
        <w:bottom w:val="none" w:sz="0" w:space="0" w:color="auto"/>
        <w:right w:val="none" w:sz="0" w:space="0" w:color="auto"/>
      </w:divBdr>
    </w:div>
    <w:div w:id="51320267">
      <w:bodyDiv w:val="1"/>
      <w:marLeft w:val="0"/>
      <w:marRight w:val="0"/>
      <w:marTop w:val="0"/>
      <w:marBottom w:val="0"/>
      <w:divBdr>
        <w:top w:val="none" w:sz="0" w:space="0" w:color="auto"/>
        <w:left w:val="none" w:sz="0" w:space="0" w:color="auto"/>
        <w:bottom w:val="none" w:sz="0" w:space="0" w:color="auto"/>
        <w:right w:val="none" w:sz="0" w:space="0" w:color="auto"/>
      </w:divBdr>
      <w:divsChild>
        <w:div w:id="1706170326">
          <w:marLeft w:val="0"/>
          <w:marRight w:val="0"/>
          <w:marTop w:val="0"/>
          <w:marBottom w:val="0"/>
          <w:divBdr>
            <w:top w:val="none" w:sz="0" w:space="0" w:color="auto"/>
            <w:left w:val="none" w:sz="0" w:space="0" w:color="auto"/>
            <w:bottom w:val="none" w:sz="0" w:space="0" w:color="auto"/>
            <w:right w:val="none" w:sz="0" w:space="0" w:color="auto"/>
          </w:divBdr>
        </w:div>
      </w:divsChild>
    </w:div>
    <w:div w:id="54856687">
      <w:bodyDiv w:val="1"/>
      <w:marLeft w:val="0"/>
      <w:marRight w:val="0"/>
      <w:marTop w:val="0"/>
      <w:marBottom w:val="0"/>
      <w:divBdr>
        <w:top w:val="none" w:sz="0" w:space="0" w:color="auto"/>
        <w:left w:val="none" w:sz="0" w:space="0" w:color="auto"/>
        <w:bottom w:val="none" w:sz="0" w:space="0" w:color="auto"/>
        <w:right w:val="none" w:sz="0" w:space="0" w:color="auto"/>
      </w:divBdr>
      <w:divsChild>
        <w:div w:id="209264362">
          <w:marLeft w:val="0"/>
          <w:marRight w:val="0"/>
          <w:marTop w:val="0"/>
          <w:marBottom w:val="0"/>
          <w:divBdr>
            <w:top w:val="none" w:sz="0" w:space="0" w:color="auto"/>
            <w:left w:val="none" w:sz="0" w:space="0" w:color="auto"/>
            <w:bottom w:val="none" w:sz="0" w:space="0" w:color="auto"/>
            <w:right w:val="none" w:sz="0" w:space="0" w:color="auto"/>
          </w:divBdr>
        </w:div>
      </w:divsChild>
    </w:div>
    <w:div w:id="63796411">
      <w:bodyDiv w:val="1"/>
      <w:marLeft w:val="0"/>
      <w:marRight w:val="0"/>
      <w:marTop w:val="0"/>
      <w:marBottom w:val="0"/>
      <w:divBdr>
        <w:top w:val="none" w:sz="0" w:space="0" w:color="auto"/>
        <w:left w:val="none" w:sz="0" w:space="0" w:color="auto"/>
        <w:bottom w:val="none" w:sz="0" w:space="0" w:color="auto"/>
        <w:right w:val="none" w:sz="0" w:space="0" w:color="auto"/>
      </w:divBdr>
    </w:div>
    <w:div w:id="106900384">
      <w:bodyDiv w:val="1"/>
      <w:marLeft w:val="0"/>
      <w:marRight w:val="0"/>
      <w:marTop w:val="0"/>
      <w:marBottom w:val="0"/>
      <w:divBdr>
        <w:top w:val="none" w:sz="0" w:space="0" w:color="auto"/>
        <w:left w:val="none" w:sz="0" w:space="0" w:color="auto"/>
        <w:bottom w:val="none" w:sz="0" w:space="0" w:color="auto"/>
        <w:right w:val="none" w:sz="0" w:space="0" w:color="auto"/>
      </w:divBdr>
    </w:div>
    <w:div w:id="107311977">
      <w:bodyDiv w:val="1"/>
      <w:marLeft w:val="0"/>
      <w:marRight w:val="0"/>
      <w:marTop w:val="0"/>
      <w:marBottom w:val="0"/>
      <w:divBdr>
        <w:top w:val="none" w:sz="0" w:space="0" w:color="auto"/>
        <w:left w:val="none" w:sz="0" w:space="0" w:color="auto"/>
        <w:bottom w:val="none" w:sz="0" w:space="0" w:color="auto"/>
        <w:right w:val="none" w:sz="0" w:space="0" w:color="auto"/>
      </w:divBdr>
    </w:div>
    <w:div w:id="108623353">
      <w:bodyDiv w:val="1"/>
      <w:marLeft w:val="0"/>
      <w:marRight w:val="0"/>
      <w:marTop w:val="0"/>
      <w:marBottom w:val="0"/>
      <w:divBdr>
        <w:top w:val="none" w:sz="0" w:space="0" w:color="auto"/>
        <w:left w:val="none" w:sz="0" w:space="0" w:color="auto"/>
        <w:bottom w:val="none" w:sz="0" w:space="0" w:color="auto"/>
        <w:right w:val="none" w:sz="0" w:space="0" w:color="auto"/>
      </w:divBdr>
    </w:div>
    <w:div w:id="115880512">
      <w:bodyDiv w:val="1"/>
      <w:marLeft w:val="0"/>
      <w:marRight w:val="0"/>
      <w:marTop w:val="0"/>
      <w:marBottom w:val="0"/>
      <w:divBdr>
        <w:top w:val="none" w:sz="0" w:space="0" w:color="auto"/>
        <w:left w:val="none" w:sz="0" w:space="0" w:color="auto"/>
        <w:bottom w:val="none" w:sz="0" w:space="0" w:color="auto"/>
        <w:right w:val="none" w:sz="0" w:space="0" w:color="auto"/>
      </w:divBdr>
    </w:div>
    <w:div w:id="120199173">
      <w:bodyDiv w:val="1"/>
      <w:marLeft w:val="0"/>
      <w:marRight w:val="0"/>
      <w:marTop w:val="0"/>
      <w:marBottom w:val="0"/>
      <w:divBdr>
        <w:top w:val="none" w:sz="0" w:space="0" w:color="auto"/>
        <w:left w:val="none" w:sz="0" w:space="0" w:color="auto"/>
        <w:bottom w:val="none" w:sz="0" w:space="0" w:color="auto"/>
        <w:right w:val="none" w:sz="0" w:space="0" w:color="auto"/>
      </w:divBdr>
      <w:divsChild>
        <w:div w:id="575743906">
          <w:marLeft w:val="0"/>
          <w:marRight w:val="0"/>
          <w:marTop w:val="0"/>
          <w:marBottom w:val="0"/>
          <w:divBdr>
            <w:top w:val="none" w:sz="0" w:space="0" w:color="auto"/>
            <w:left w:val="none" w:sz="0" w:space="0" w:color="auto"/>
            <w:bottom w:val="none" w:sz="0" w:space="0" w:color="auto"/>
            <w:right w:val="none" w:sz="0" w:space="0" w:color="auto"/>
          </w:divBdr>
        </w:div>
      </w:divsChild>
    </w:div>
    <w:div w:id="130054505">
      <w:bodyDiv w:val="1"/>
      <w:marLeft w:val="0"/>
      <w:marRight w:val="0"/>
      <w:marTop w:val="0"/>
      <w:marBottom w:val="0"/>
      <w:divBdr>
        <w:top w:val="none" w:sz="0" w:space="0" w:color="auto"/>
        <w:left w:val="none" w:sz="0" w:space="0" w:color="auto"/>
        <w:bottom w:val="none" w:sz="0" w:space="0" w:color="auto"/>
        <w:right w:val="none" w:sz="0" w:space="0" w:color="auto"/>
      </w:divBdr>
      <w:divsChild>
        <w:div w:id="1504274950">
          <w:marLeft w:val="0"/>
          <w:marRight w:val="0"/>
          <w:marTop w:val="0"/>
          <w:marBottom w:val="0"/>
          <w:divBdr>
            <w:top w:val="none" w:sz="0" w:space="0" w:color="auto"/>
            <w:left w:val="none" w:sz="0" w:space="0" w:color="auto"/>
            <w:bottom w:val="none" w:sz="0" w:space="0" w:color="auto"/>
            <w:right w:val="none" w:sz="0" w:space="0" w:color="auto"/>
          </w:divBdr>
        </w:div>
      </w:divsChild>
    </w:div>
    <w:div w:id="133255484">
      <w:bodyDiv w:val="1"/>
      <w:marLeft w:val="0"/>
      <w:marRight w:val="0"/>
      <w:marTop w:val="0"/>
      <w:marBottom w:val="0"/>
      <w:divBdr>
        <w:top w:val="none" w:sz="0" w:space="0" w:color="auto"/>
        <w:left w:val="none" w:sz="0" w:space="0" w:color="auto"/>
        <w:bottom w:val="none" w:sz="0" w:space="0" w:color="auto"/>
        <w:right w:val="none" w:sz="0" w:space="0" w:color="auto"/>
      </w:divBdr>
    </w:div>
    <w:div w:id="133910731">
      <w:bodyDiv w:val="1"/>
      <w:marLeft w:val="0"/>
      <w:marRight w:val="0"/>
      <w:marTop w:val="0"/>
      <w:marBottom w:val="0"/>
      <w:divBdr>
        <w:top w:val="none" w:sz="0" w:space="0" w:color="auto"/>
        <w:left w:val="none" w:sz="0" w:space="0" w:color="auto"/>
        <w:bottom w:val="none" w:sz="0" w:space="0" w:color="auto"/>
        <w:right w:val="none" w:sz="0" w:space="0" w:color="auto"/>
      </w:divBdr>
      <w:divsChild>
        <w:div w:id="719398735">
          <w:marLeft w:val="0"/>
          <w:marRight w:val="0"/>
          <w:marTop w:val="0"/>
          <w:marBottom w:val="0"/>
          <w:divBdr>
            <w:top w:val="none" w:sz="0" w:space="0" w:color="auto"/>
            <w:left w:val="none" w:sz="0" w:space="0" w:color="auto"/>
            <w:bottom w:val="none" w:sz="0" w:space="0" w:color="auto"/>
            <w:right w:val="none" w:sz="0" w:space="0" w:color="auto"/>
          </w:divBdr>
        </w:div>
      </w:divsChild>
    </w:div>
    <w:div w:id="137112633">
      <w:bodyDiv w:val="1"/>
      <w:marLeft w:val="0"/>
      <w:marRight w:val="0"/>
      <w:marTop w:val="0"/>
      <w:marBottom w:val="0"/>
      <w:divBdr>
        <w:top w:val="none" w:sz="0" w:space="0" w:color="auto"/>
        <w:left w:val="none" w:sz="0" w:space="0" w:color="auto"/>
        <w:bottom w:val="none" w:sz="0" w:space="0" w:color="auto"/>
        <w:right w:val="none" w:sz="0" w:space="0" w:color="auto"/>
      </w:divBdr>
      <w:divsChild>
        <w:div w:id="704326352">
          <w:marLeft w:val="0"/>
          <w:marRight w:val="0"/>
          <w:marTop w:val="0"/>
          <w:marBottom w:val="0"/>
          <w:divBdr>
            <w:top w:val="none" w:sz="0" w:space="0" w:color="auto"/>
            <w:left w:val="none" w:sz="0" w:space="0" w:color="auto"/>
            <w:bottom w:val="none" w:sz="0" w:space="0" w:color="auto"/>
            <w:right w:val="none" w:sz="0" w:space="0" w:color="auto"/>
          </w:divBdr>
        </w:div>
      </w:divsChild>
    </w:div>
    <w:div w:id="137848687">
      <w:bodyDiv w:val="1"/>
      <w:marLeft w:val="0"/>
      <w:marRight w:val="0"/>
      <w:marTop w:val="0"/>
      <w:marBottom w:val="0"/>
      <w:divBdr>
        <w:top w:val="none" w:sz="0" w:space="0" w:color="auto"/>
        <w:left w:val="none" w:sz="0" w:space="0" w:color="auto"/>
        <w:bottom w:val="none" w:sz="0" w:space="0" w:color="auto"/>
        <w:right w:val="none" w:sz="0" w:space="0" w:color="auto"/>
      </w:divBdr>
    </w:div>
    <w:div w:id="149759765">
      <w:bodyDiv w:val="1"/>
      <w:marLeft w:val="0"/>
      <w:marRight w:val="0"/>
      <w:marTop w:val="0"/>
      <w:marBottom w:val="0"/>
      <w:divBdr>
        <w:top w:val="none" w:sz="0" w:space="0" w:color="auto"/>
        <w:left w:val="none" w:sz="0" w:space="0" w:color="auto"/>
        <w:bottom w:val="none" w:sz="0" w:space="0" w:color="auto"/>
        <w:right w:val="none" w:sz="0" w:space="0" w:color="auto"/>
      </w:divBdr>
    </w:div>
    <w:div w:id="151482479">
      <w:bodyDiv w:val="1"/>
      <w:marLeft w:val="0"/>
      <w:marRight w:val="0"/>
      <w:marTop w:val="0"/>
      <w:marBottom w:val="0"/>
      <w:divBdr>
        <w:top w:val="none" w:sz="0" w:space="0" w:color="auto"/>
        <w:left w:val="none" w:sz="0" w:space="0" w:color="auto"/>
        <w:bottom w:val="none" w:sz="0" w:space="0" w:color="auto"/>
        <w:right w:val="none" w:sz="0" w:space="0" w:color="auto"/>
      </w:divBdr>
    </w:div>
    <w:div w:id="158616398">
      <w:bodyDiv w:val="1"/>
      <w:marLeft w:val="0"/>
      <w:marRight w:val="0"/>
      <w:marTop w:val="0"/>
      <w:marBottom w:val="0"/>
      <w:divBdr>
        <w:top w:val="none" w:sz="0" w:space="0" w:color="auto"/>
        <w:left w:val="none" w:sz="0" w:space="0" w:color="auto"/>
        <w:bottom w:val="none" w:sz="0" w:space="0" w:color="auto"/>
        <w:right w:val="none" w:sz="0" w:space="0" w:color="auto"/>
      </w:divBdr>
    </w:div>
    <w:div w:id="159009898">
      <w:bodyDiv w:val="1"/>
      <w:marLeft w:val="0"/>
      <w:marRight w:val="0"/>
      <w:marTop w:val="0"/>
      <w:marBottom w:val="0"/>
      <w:divBdr>
        <w:top w:val="none" w:sz="0" w:space="0" w:color="auto"/>
        <w:left w:val="none" w:sz="0" w:space="0" w:color="auto"/>
        <w:bottom w:val="none" w:sz="0" w:space="0" w:color="auto"/>
        <w:right w:val="none" w:sz="0" w:space="0" w:color="auto"/>
      </w:divBdr>
    </w:div>
    <w:div w:id="163594669">
      <w:bodyDiv w:val="1"/>
      <w:marLeft w:val="0"/>
      <w:marRight w:val="0"/>
      <w:marTop w:val="0"/>
      <w:marBottom w:val="0"/>
      <w:divBdr>
        <w:top w:val="none" w:sz="0" w:space="0" w:color="auto"/>
        <w:left w:val="none" w:sz="0" w:space="0" w:color="auto"/>
        <w:bottom w:val="none" w:sz="0" w:space="0" w:color="auto"/>
        <w:right w:val="none" w:sz="0" w:space="0" w:color="auto"/>
      </w:divBdr>
    </w:div>
    <w:div w:id="165942684">
      <w:bodyDiv w:val="1"/>
      <w:marLeft w:val="0"/>
      <w:marRight w:val="0"/>
      <w:marTop w:val="0"/>
      <w:marBottom w:val="0"/>
      <w:divBdr>
        <w:top w:val="none" w:sz="0" w:space="0" w:color="auto"/>
        <w:left w:val="none" w:sz="0" w:space="0" w:color="auto"/>
        <w:bottom w:val="none" w:sz="0" w:space="0" w:color="auto"/>
        <w:right w:val="none" w:sz="0" w:space="0" w:color="auto"/>
      </w:divBdr>
    </w:div>
    <w:div w:id="170920414">
      <w:bodyDiv w:val="1"/>
      <w:marLeft w:val="0"/>
      <w:marRight w:val="0"/>
      <w:marTop w:val="0"/>
      <w:marBottom w:val="0"/>
      <w:divBdr>
        <w:top w:val="none" w:sz="0" w:space="0" w:color="auto"/>
        <w:left w:val="none" w:sz="0" w:space="0" w:color="auto"/>
        <w:bottom w:val="none" w:sz="0" w:space="0" w:color="auto"/>
        <w:right w:val="none" w:sz="0" w:space="0" w:color="auto"/>
      </w:divBdr>
    </w:div>
    <w:div w:id="175270513">
      <w:bodyDiv w:val="1"/>
      <w:marLeft w:val="0"/>
      <w:marRight w:val="0"/>
      <w:marTop w:val="0"/>
      <w:marBottom w:val="0"/>
      <w:divBdr>
        <w:top w:val="none" w:sz="0" w:space="0" w:color="auto"/>
        <w:left w:val="none" w:sz="0" w:space="0" w:color="auto"/>
        <w:bottom w:val="none" w:sz="0" w:space="0" w:color="auto"/>
        <w:right w:val="none" w:sz="0" w:space="0" w:color="auto"/>
      </w:divBdr>
    </w:div>
    <w:div w:id="182288077">
      <w:bodyDiv w:val="1"/>
      <w:marLeft w:val="0"/>
      <w:marRight w:val="0"/>
      <w:marTop w:val="0"/>
      <w:marBottom w:val="0"/>
      <w:divBdr>
        <w:top w:val="none" w:sz="0" w:space="0" w:color="auto"/>
        <w:left w:val="none" w:sz="0" w:space="0" w:color="auto"/>
        <w:bottom w:val="none" w:sz="0" w:space="0" w:color="auto"/>
        <w:right w:val="none" w:sz="0" w:space="0" w:color="auto"/>
      </w:divBdr>
    </w:div>
    <w:div w:id="183597442">
      <w:bodyDiv w:val="1"/>
      <w:marLeft w:val="0"/>
      <w:marRight w:val="0"/>
      <w:marTop w:val="0"/>
      <w:marBottom w:val="0"/>
      <w:divBdr>
        <w:top w:val="none" w:sz="0" w:space="0" w:color="auto"/>
        <w:left w:val="none" w:sz="0" w:space="0" w:color="auto"/>
        <w:bottom w:val="none" w:sz="0" w:space="0" w:color="auto"/>
        <w:right w:val="none" w:sz="0" w:space="0" w:color="auto"/>
      </w:divBdr>
      <w:divsChild>
        <w:div w:id="486358501">
          <w:marLeft w:val="0"/>
          <w:marRight w:val="0"/>
          <w:marTop w:val="0"/>
          <w:marBottom w:val="0"/>
          <w:divBdr>
            <w:top w:val="none" w:sz="0" w:space="0" w:color="auto"/>
            <w:left w:val="none" w:sz="0" w:space="0" w:color="auto"/>
            <w:bottom w:val="none" w:sz="0" w:space="0" w:color="auto"/>
            <w:right w:val="none" w:sz="0" w:space="0" w:color="auto"/>
          </w:divBdr>
        </w:div>
      </w:divsChild>
    </w:div>
    <w:div w:id="212620521">
      <w:bodyDiv w:val="1"/>
      <w:marLeft w:val="0"/>
      <w:marRight w:val="0"/>
      <w:marTop w:val="0"/>
      <w:marBottom w:val="0"/>
      <w:divBdr>
        <w:top w:val="none" w:sz="0" w:space="0" w:color="auto"/>
        <w:left w:val="none" w:sz="0" w:space="0" w:color="auto"/>
        <w:bottom w:val="none" w:sz="0" w:space="0" w:color="auto"/>
        <w:right w:val="none" w:sz="0" w:space="0" w:color="auto"/>
      </w:divBdr>
      <w:divsChild>
        <w:div w:id="1614090325">
          <w:marLeft w:val="0"/>
          <w:marRight w:val="0"/>
          <w:marTop w:val="0"/>
          <w:marBottom w:val="0"/>
          <w:divBdr>
            <w:top w:val="none" w:sz="0" w:space="0" w:color="auto"/>
            <w:left w:val="none" w:sz="0" w:space="0" w:color="auto"/>
            <w:bottom w:val="none" w:sz="0" w:space="0" w:color="auto"/>
            <w:right w:val="none" w:sz="0" w:space="0" w:color="auto"/>
          </w:divBdr>
        </w:div>
      </w:divsChild>
    </w:div>
    <w:div w:id="218782336">
      <w:bodyDiv w:val="1"/>
      <w:marLeft w:val="0"/>
      <w:marRight w:val="0"/>
      <w:marTop w:val="0"/>
      <w:marBottom w:val="0"/>
      <w:divBdr>
        <w:top w:val="none" w:sz="0" w:space="0" w:color="auto"/>
        <w:left w:val="none" w:sz="0" w:space="0" w:color="auto"/>
        <w:bottom w:val="none" w:sz="0" w:space="0" w:color="auto"/>
        <w:right w:val="none" w:sz="0" w:space="0" w:color="auto"/>
      </w:divBdr>
      <w:divsChild>
        <w:div w:id="1299607413">
          <w:marLeft w:val="0"/>
          <w:marRight w:val="0"/>
          <w:marTop w:val="0"/>
          <w:marBottom w:val="0"/>
          <w:divBdr>
            <w:top w:val="none" w:sz="0" w:space="0" w:color="auto"/>
            <w:left w:val="none" w:sz="0" w:space="0" w:color="auto"/>
            <w:bottom w:val="none" w:sz="0" w:space="0" w:color="auto"/>
            <w:right w:val="none" w:sz="0" w:space="0" w:color="auto"/>
          </w:divBdr>
        </w:div>
      </w:divsChild>
    </w:div>
    <w:div w:id="222759498">
      <w:bodyDiv w:val="1"/>
      <w:marLeft w:val="0"/>
      <w:marRight w:val="0"/>
      <w:marTop w:val="0"/>
      <w:marBottom w:val="0"/>
      <w:divBdr>
        <w:top w:val="none" w:sz="0" w:space="0" w:color="auto"/>
        <w:left w:val="none" w:sz="0" w:space="0" w:color="auto"/>
        <w:bottom w:val="none" w:sz="0" w:space="0" w:color="auto"/>
        <w:right w:val="none" w:sz="0" w:space="0" w:color="auto"/>
      </w:divBdr>
    </w:div>
    <w:div w:id="268658970">
      <w:bodyDiv w:val="1"/>
      <w:marLeft w:val="0"/>
      <w:marRight w:val="0"/>
      <w:marTop w:val="0"/>
      <w:marBottom w:val="0"/>
      <w:divBdr>
        <w:top w:val="none" w:sz="0" w:space="0" w:color="auto"/>
        <w:left w:val="none" w:sz="0" w:space="0" w:color="auto"/>
        <w:bottom w:val="none" w:sz="0" w:space="0" w:color="auto"/>
        <w:right w:val="none" w:sz="0" w:space="0" w:color="auto"/>
      </w:divBdr>
    </w:div>
    <w:div w:id="272328965">
      <w:bodyDiv w:val="1"/>
      <w:marLeft w:val="0"/>
      <w:marRight w:val="0"/>
      <w:marTop w:val="0"/>
      <w:marBottom w:val="0"/>
      <w:divBdr>
        <w:top w:val="none" w:sz="0" w:space="0" w:color="auto"/>
        <w:left w:val="none" w:sz="0" w:space="0" w:color="auto"/>
        <w:bottom w:val="none" w:sz="0" w:space="0" w:color="auto"/>
        <w:right w:val="none" w:sz="0" w:space="0" w:color="auto"/>
      </w:divBdr>
    </w:div>
    <w:div w:id="278998740">
      <w:bodyDiv w:val="1"/>
      <w:marLeft w:val="0"/>
      <w:marRight w:val="0"/>
      <w:marTop w:val="0"/>
      <w:marBottom w:val="0"/>
      <w:divBdr>
        <w:top w:val="none" w:sz="0" w:space="0" w:color="auto"/>
        <w:left w:val="none" w:sz="0" w:space="0" w:color="auto"/>
        <w:bottom w:val="none" w:sz="0" w:space="0" w:color="auto"/>
        <w:right w:val="none" w:sz="0" w:space="0" w:color="auto"/>
      </w:divBdr>
    </w:div>
    <w:div w:id="290210993">
      <w:bodyDiv w:val="1"/>
      <w:marLeft w:val="0"/>
      <w:marRight w:val="0"/>
      <w:marTop w:val="0"/>
      <w:marBottom w:val="0"/>
      <w:divBdr>
        <w:top w:val="none" w:sz="0" w:space="0" w:color="auto"/>
        <w:left w:val="none" w:sz="0" w:space="0" w:color="auto"/>
        <w:bottom w:val="none" w:sz="0" w:space="0" w:color="auto"/>
        <w:right w:val="none" w:sz="0" w:space="0" w:color="auto"/>
      </w:divBdr>
    </w:div>
    <w:div w:id="298653834">
      <w:bodyDiv w:val="1"/>
      <w:marLeft w:val="0"/>
      <w:marRight w:val="0"/>
      <w:marTop w:val="0"/>
      <w:marBottom w:val="0"/>
      <w:divBdr>
        <w:top w:val="none" w:sz="0" w:space="0" w:color="auto"/>
        <w:left w:val="none" w:sz="0" w:space="0" w:color="auto"/>
        <w:bottom w:val="none" w:sz="0" w:space="0" w:color="auto"/>
        <w:right w:val="none" w:sz="0" w:space="0" w:color="auto"/>
      </w:divBdr>
    </w:div>
    <w:div w:id="322272373">
      <w:bodyDiv w:val="1"/>
      <w:marLeft w:val="0"/>
      <w:marRight w:val="0"/>
      <w:marTop w:val="0"/>
      <w:marBottom w:val="0"/>
      <w:divBdr>
        <w:top w:val="none" w:sz="0" w:space="0" w:color="auto"/>
        <w:left w:val="none" w:sz="0" w:space="0" w:color="auto"/>
        <w:bottom w:val="none" w:sz="0" w:space="0" w:color="auto"/>
        <w:right w:val="none" w:sz="0" w:space="0" w:color="auto"/>
      </w:divBdr>
    </w:div>
    <w:div w:id="323895585">
      <w:bodyDiv w:val="1"/>
      <w:marLeft w:val="0"/>
      <w:marRight w:val="0"/>
      <w:marTop w:val="0"/>
      <w:marBottom w:val="0"/>
      <w:divBdr>
        <w:top w:val="none" w:sz="0" w:space="0" w:color="auto"/>
        <w:left w:val="none" w:sz="0" w:space="0" w:color="auto"/>
        <w:bottom w:val="none" w:sz="0" w:space="0" w:color="auto"/>
        <w:right w:val="none" w:sz="0" w:space="0" w:color="auto"/>
      </w:divBdr>
      <w:divsChild>
        <w:div w:id="142430000">
          <w:marLeft w:val="0"/>
          <w:marRight w:val="0"/>
          <w:marTop w:val="0"/>
          <w:marBottom w:val="0"/>
          <w:divBdr>
            <w:top w:val="none" w:sz="0" w:space="0" w:color="auto"/>
            <w:left w:val="none" w:sz="0" w:space="0" w:color="auto"/>
            <w:bottom w:val="none" w:sz="0" w:space="0" w:color="auto"/>
            <w:right w:val="none" w:sz="0" w:space="0" w:color="auto"/>
          </w:divBdr>
        </w:div>
      </w:divsChild>
    </w:div>
    <w:div w:id="324627681">
      <w:bodyDiv w:val="1"/>
      <w:marLeft w:val="0"/>
      <w:marRight w:val="0"/>
      <w:marTop w:val="0"/>
      <w:marBottom w:val="0"/>
      <w:divBdr>
        <w:top w:val="none" w:sz="0" w:space="0" w:color="auto"/>
        <w:left w:val="none" w:sz="0" w:space="0" w:color="auto"/>
        <w:bottom w:val="none" w:sz="0" w:space="0" w:color="auto"/>
        <w:right w:val="none" w:sz="0" w:space="0" w:color="auto"/>
      </w:divBdr>
      <w:divsChild>
        <w:div w:id="585924240">
          <w:marLeft w:val="0"/>
          <w:marRight w:val="0"/>
          <w:marTop w:val="0"/>
          <w:marBottom w:val="0"/>
          <w:divBdr>
            <w:top w:val="none" w:sz="0" w:space="0" w:color="auto"/>
            <w:left w:val="none" w:sz="0" w:space="0" w:color="auto"/>
            <w:bottom w:val="none" w:sz="0" w:space="0" w:color="auto"/>
            <w:right w:val="none" w:sz="0" w:space="0" w:color="auto"/>
          </w:divBdr>
        </w:div>
      </w:divsChild>
    </w:div>
    <w:div w:id="341664364">
      <w:bodyDiv w:val="1"/>
      <w:marLeft w:val="0"/>
      <w:marRight w:val="0"/>
      <w:marTop w:val="0"/>
      <w:marBottom w:val="0"/>
      <w:divBdr>
        <w:top w:val="none" w:sz="0" w:space="0" w:color="auto"/>
        <w:left w:val="none" w:sz="0" w:space="0" w:color="auto"/>
        <w:bottom w:val="none" w:sz="0" w:space="0" w:color="auto"/>
        <w:right w:val="none" w:sz="0" w:space="0" w:color="auto"/>
      </w:divBdr>
    </w:div>
    <w:div w:id="342324130">
      <w:bodyDiv w:val="1"/>
      <w:marLeft w:val="0"/>
      <w:marRight w:val="0"/>
      <w:marTop w:val="0"/>
      <w:marBottom w:val="0"/>
      <w:divBdr>
        <w:top w:val="none" w:sz="0" w:space="0" w:color="auto"/>
        <w:left w:val="none" w:sz="0" w:space="0" w:color="auto"/>
        <w:bottom w:val="none" w:sz="0" w:space="0" w:color="auto"/>
        <w:right w:val="none" w:sz="0" w:space="0" w:color="auto"/>
      </w:divBdr>
      <w:divsChild>
        <w:div w:id="535850556">
          <w:marLeft w:val="0"/>
          <w:marRight w:val="0"/>
          <w:marTop w:val="0"/>
          <w:marBottom w:val="0"/>
          <w:divBdr>
            <w:top w:val="none" w:sz="0" w:space="0" w:color="auto"/>
            <w:left w:val="none" w:sz="0" w:space="0" w:color="auto"/>
            <w:bottom w:val="none" w:sz="0" w:space="0" w:color="auto"/>
            <w:right w:val="none" w:sz="0" w:space="0" w:color="auto"/>
          </w:divBdr>
        </w:div>
      </w:divsChild>
    </w:div>
    <w:div w:id="348724343">
      <w:bodyDiv w:val="1"/>
      <w:marLeft w:val="0"/>
      <w:marRight w:val="0"/>
      <w:marTop w:val="0"/>
      <w:marBottom w:val="0"/>
      <w:divBdr>
        <w:top w:val="none" w:sz="0" w:space="0" w:color="auto"/>
        <w:left w:val="none" w:sz="0" w:space="0" w:color="auto"/>
        <w:bottom w:val="none" w:sz="0" w:space="0" w:color="auto"/>
        <w:right w:val="none" w:sz="0" w:space="0" w:color="auto"/>
      </w:divBdr>
    </w:div>
    <w:div w:id="353305617">
      <w:bodyDiv w:val="1"/>
      <w:marLeft w:val="0"/>
      <w:marRight w:val="0"/>
      <w:marTop w:val="0"/>
      <w:marBottom w:val="0"/>
      <w:divBdr>
        <w:top w:val="none" w:sz="0" w:space="0" w:color="auto"/>
        <w:left w:val="none" w:sz="0" w:space="0" w:color="auto"/>
        <w:bottom w:val="none" w:sz="0" w:space="0" w:color="auto"/>
        <w:right w:val="none" w:sz="0" w:space="0" w:color="auto"/>
      </w:divBdr>
      <w:divsChild>
        <w:div w:id="1798066586">
          <w:marLeft w:val="0"/>
          <w:marRight w:val="0"/>
          <w:marTop w:val="0"/>
          <w:marBottom w:val="0"/>
          <w:divBdr>
            <w:top w:val="none" w:sz="0" w:space="0" w:color="auto"/>
            <w:left w:val="none" w:sz="0" w:space="0" w:color="auto"/>
            <w:bottom w:val="none" w:sz="0" w:space="0" w:color="auto"/>
            <w:right w:val="none" w:sz="0" w:space="0" w:color="auto"/>
          </w:divBdr>
        </w:div>
      </w:divsChild>
    </w:div>
    <w:div w:id="353918579">
      <w:bodyDiv w:val="1"/>
      <w:marLeft w:val="0"/>
      <w:marRight w:val="0"/>
      <w:marTop w:val="0"/>
      <w:marBottom w:val="0"/>
      <w:divBdr>
        <w:top w:val="none" w:sz="0" w:space="0" w:color="auto"/>
        <w:left w:val="none" w:sz="0" w:space="0" w:color="auto"/>
        <w:bottom w:val="none" w:sz="0" w:space="0" w:color="auto"/>
        <w:right w:val="none" w:sz="0" w:space="0" w:color="auto"/>
      </w:divBdr>
      <w:divsChild>
        <w:div w:id="238640502">
          <w:marLeft w:val="0"/>
          <w:marRight w:val="0"/>
          <w:marTop w:val="0"/>
          <w:marBottom w:val="0"/>
          <w:divBdr>
            <w:top w:val="none" w:sz="0" w:space="0" w:color="auto"/>
            <w:left w:val="none" w:sz="0" w:space="0" w:color="auto"/>
            <w:bottom w:val="none" w:sz="0" w:space="0" w:color="auto"/>
            <w:right w:val="none" w:sz="0" w:space="0" w:color="auto"/>
          </w:divBdr>
        </w:div>
      </w:divsChild>
    </w:div>
    <w:div w:id="367947468">
      <w:bodyDiv w:val="1"/>
      <w:marLeft w:val="0"/>
      <w:marRight w:val="0"/>
      <w:marTop w:val="0"/>
      <w:marBottom w:val="0"/>
      <w:divBdr>
        <w:top w:val="none" w:sz="0" w:space="0" w:color="auto"/>
        <w:left w:val="none" w:sz="0" w:space="0" w:color="auto"/>
        <w:bottom w:val="none" w:sz="0" w:space="0" w:color="auto"/>
        <w:right w:val="none" w:sz="0" w:space="0" w:color="auto"/>
      </w:divBdr>
    </w:div>
    <w:div w:id="380861840">
      <w:bodyDiv w:val="1"/>
      <w:marLeft w:val="0"/>
      <w:marRight w:val="0"/>
      <w:marTop w:val="0"/>
      <w:marBottom w:val="0"/>
      <w:divBdr>
        <w:top w:val="none" w:sz="0" w:space="0" w:color="auto"/>
        <w:left w:val="none" w:sz="0" w:space="0" w:color="auto"/>
        <w:bottom w:val="none" w:sz="0" w:space="0" w:color="auto"/>
        <w:right w:val="none" w:sz="0" w:space="0" w:color="auto"/>
      </w:divBdr>
    </w:div>
    <w:div w:id="387729172">
      <w:bodyDiv w:val="1"/>
      <w:marLeft w:val="0"/>
      <w:marRight w:val="0"/>
      <w:marTop w:val="0"/>
      <w:marBottom w:val="0"/>
      <w:divBdr>
        <w:top w:val="none" w:sz="0" w:space="0" w:color="auto"/>
        <w:left w:val="none" w:sz="0" w:space="0" w:color="auto"/>
        <w:bottom w:val="none" w:sz="0" w:space="0" w:color="auto"/>
        <w:right w:val="none" w:sz="0" w:space="0" w:color="auto"/>
      </w:divBdr>
    </w:div>
    <w:div w:id="411631868">
      <w:bodyDiv w:val="1"/>
      <w:marLeft w:val="0"/>
      <w:marRight w:val="0"/>
      <w:marTop w:val="0"/>
      <w:marBottom w:val="0"/>
      <w:divBdr>
        <w:top w:val="none" w:sz="0" w:space="0" w:color="auto"/>
        <w:left w:val="none" w:sz="0" w:space="0" w:color="auto"/>
        <w:bottom w:val="none" w:sz="0" w:space="0" w:color="auto"/>
        <w:right w:val="none" w:sz="0" w:space="0" w:color="auto"/>
      </w:divBdr>
      <w:divsChild>
        <w:div w:id="1056978204">
          <w:marLeft w:val="0"/>
          <w:marRight w:val="0"/>
          <w:marTop w:val="0"/>
          <w:marBottom w:val="0"/>
          <w:divBdr>
            <w:top w:val="none" w:sz="0" w:space="0" w:color="auto"/>
            <w:left w:val="none" w:sz="0" w:space="0" w:color="auto"/>
            <w:bottom w:val="none" w:sz="0" w:space="0" w:color="auto"/>
            <w:right w:val="none" w:sz="0" w:space="0" w:color="auto"/>
          </w:divBdr>
        </w:div>
      </w:divsChild>
    </w:div>
    <w:div w:id="412051080">
      <w:bodyDiv w:val="1"/>
      <w:marLeft w:val="0"/>
      <w:marRight w:val="0"/>
      <w:marTop w:val="0"/>
      <w:marBottom w:val="0"/>
      <w:divBdr>
        <w:top w:val="none" w:sz="0" w:space="0" w:color="auto"/>
        <w:left w:val="none" w:sz="0" w:space="0" w:color="auto"/>
        <w:bottom w:val="none" w:sz="0" w:space="0" w:color="auto"/>
        <w:right w:val="none" w:sz="0" w:space="0" w:color="auto"/>
      </w:divBdr>
    </w:div>
    <w:div w:id="427890562">
      <w:bodyDiv w:val="1"/>
      <w:marLeft w:val="0"/>
      <w:marRight w:val="0"/>
      <w:marTop w:val="0"/>
      <w:marBottom w:val="0"/>
      <w:divBdr>
        <w:top w:val="none" w:sz="0" w:space="0" w:color="auto"/>
        <w:left w:val="none" w:sz="0" w:space="0" w:color="auto"/>
        <w:bottom w:val="none" w:sz="0" w:space="0" w:color="auto"/>
        <w:right w:val="none" w:sz="0" w:space="0" w:color="auto"/>
      </w:divBdr>
      <w:divsChild>
        <w:div w:id="1498185274">
          <w:marLeft w:val="0"/>
          <w:marRight w:val="0"/>
          <w:marTop w:val="0"/>
          <w:marBottom w:val="0"/>
          <w:divBdr>
            <w:top w:val="none" w:sz="0" w:space="0" w:color="auto"/>
            <w:left w:val="none" w:sz="0" w:space="0" w:color="auto"/>
            <w:bottom w:val="none" w:sz="0" w:space="0" w:color="auto"/>
            <w:right w:val="none" w:sz="0" w:space="0" w:color="auto"/>
          </w:divBdr>
        </w:div>
      </w:divsChild>
    </w:div>
    <w:div w:id="436943700">
      <w:bodyDiv w:val="1"/>
      <w:marLeft w:val="0"/>
      <w:marRight w:val="0"/>
      <w:marTop w:val="0"/>
      <w:marBottom w:val="0"/>
      <w:divBdr>
        <w:top w:val="none" w:sz="0" w:space="0" w:color="auto"/>
        <w:left w:val="none" w:sz="0" w:space="0" w:color="auto"/>
        <w:bottom w:val="none" w:sz="0" w:space="0" w:color="auto"/>
        <w:right w:val="none" w:sz="0" w:space="0" w:color="auto"/>
      </w:divBdr>
      <w:divsChild>
        <w:div w:id="1866018513">
          <w:marLeft w:val="0"/>
          <w:marRight w:val="0"/>
          <w:marTop w:val="0"/>
          <w:marBottom w:val="0"/>
          <w:divBdr>
            <w:top w:val="none" w:sz="0" w:space="0" w:color="auto"/>
            <w:left w:val="none" w:sz="0" w:space="0" w:color="auto"/>
            <w:bottom w:val="none" w:sz="0" w:space="0" w:color="auto"/>
            <w:right w:val="none" w:sz="0" w:space="0" w:color="auto"/>
          </w:divBdr>
        </w:div>
      </w:divsChild>
    </w:div>
    <w:div w:id="451368360">
      <w:bodyDiv w:val="1"/>
      <w:marLeft w:val="0"/>
      <w:marRight w:val="0"/>
      <w:marTop w:val="0"/>
      <w:marBottom w:val="0"/>
      <w:divBdr>
        <w:top w:val="none" w:sz="0" w:space="0" w:color="auto"/>
        <w:left w:val="none" w:sz="0" w:space="0" w:color="auto"/>
        <w:bottom w:val="none" w:sz="0" w:space="0" w:color="auto"/>
        <w:right w:val="none" w:sz="0" w:space="0" w:color="auto"/>
      </w:divBdr>
    </w:div>
    <w:div w:id="453989287">
      <w:bodyDiv w:val="1"/>
      <w:marLeft w:val="0"/>
      <w:marRight w:val="0"/>
      <w:marTop w:val="0"/>
      <w:marBottom w:val="0"/>
      <w:divBdr>
        <w:top w:val="none" w:sz="0" w:space="0" w:color="auto"/>
        <w:left w:val="none" w:sz="0" w:space="0" w:color="auto"/>
        <w:bottom w:val="none" w:sz="0" w:space="0" w:color="auto"/>
        <w:right w:val="none" w:sz="0" w:space="0" w:color="auto"/>
      </w:divBdr>
    </w:div>
    <w:div w:id="455216110">
      <w:bodyDiv w:val="1"/>
      <w:marLeft w:val="0"/>
      <w:marRight w:val="0"/>
      <w:marTop w:val="0"/>
      <w:marBottom w:val="0"/>
      <w:divBdr>
        <w:top w:val="none" w:sz="0" w:space="0" w:color="auto"/>
        <w:left w:val="none" w:sz="0" w:space="0" w:color="auto"/>
        <w:bottom w:val="none" w:sz="0" w:space="0" w:color="auto"/>
        <w:right w:val="none" w:sz="0" w:space="0" w:color="auto"/>
      </w:divBdr>
    </w:div>
    <w:div w:id="461845180">
      <w:bodyDiv w:val="1"/>
      <w:marLeft w:val="0"/>
      <w:marRight w:val="0"/>
      <w:marTop w:val="0"/>
      <w:marBottom w:val="0"/>
      <w:divBdr>
        <w:top w:val="none" w:sz="0" w:space="0" w:color="auto"/>
        <w:left w:val="none" w:sz="0" w:space="0" w:color="auto"/>
        <w:bottom w:val="none" w:sz="0" w:space="0" w:color="auto"/>
        <w:right w:val="none" w:sz="0" w:space="0" w:color="auto"/>
      </w:divBdr>
    </w:div>
    <w:div w:id="476847454">
      <w:bodyDiv w:val="1"/>
      <w:marLeft w:val="0"/>
      <w:marRight w:val="0"/>
      <w:marTop w:val="0"/>
      <w:marBottom w:val="0"/>
      <w:divBdr>
        <w:top w:val="none" w:sz="0" w:space="0" w:color="auto"/>
        <w:left w:val="none" w:sz="0" w:space="0" w:color="auto"/>
        <w:bottom w:val="none" w:sz="0" w:space="0" w:color="auto"/>
        <w:right w:val="none" w:sz="0" w:space="0" w:color="auto"/>
      </w:divBdr>
    </w:div>
    <w:div w:id="478114346">
      <w:bodyDiv w:val="1"/>
      <w:marLeft w:val="0"/>
      <w:marRight w:val="0"/>
      <w:marTop w:val="0"/>
      <w:marBottom w:val="0"/>
      <w:divBdr>
        <w:top w:val="none" w:sz="0" w:space="0" w:color="auto"/>
        <w:left w:val="none" w:sz="0" w:space="0" w:color="auto"/>
        <w:bottom w:val="none" w:sz="0" w:space="0" w:color="auto"/>
        <w:right w:val="none" w:sz="0" w:space="0" w:color="auto"/>
      </w:divBdr>
      <w:divsChild>
        <w:div w:id="283122033">
          <w:marLeft w:val="0"/>
          <w:marRight w:val="0"/>
          <w:marTop w:val="0"/>
          <w:marBottom w:val="0"/>
          <w:divBdr>
            <w:top w:val="none" w:sz="0" w:space="0" w:color="auto"/>
            <w:left w:val="none" w:sz="0" w:space="0" w:color="auto"/>
            <w:bottom w:val="none" w:sz="0" w:space="0" w:color="auto"/>
            <w:right w:val="none" w:sz="0" w:space="0" w:color="auto"/>
          </w:divBdr>
        </w:div>
      </w:divsChild>
    </w:div>
    <w:div w:id="480737741">
      <w:bodyDiv w:val="1"/>
      <w:marLeft w:val="0"/>
      <w:marRight w:val="0"/>
      <w:marTop w:val="0"/>
      <w:marBottom w:val="0"/>
      <w:divBdr>
        <w:top w:val="none" w:sz="0" w:space="0" w:color="auto"/>
        <w:left w:val="none" w:sz="0" w:space="0" w:color="auto"/>
        <w:bottom w:val="none" w:sz="0" w:space="0" w:color="auto"/>
        <w:right w:val="none" w:sz="0" w:space="0" w:color="auto"/>
      </w:divBdr>
    </w:div>
    <w:div w:id="487749356">
      <w:bodyDiv w:val="1"/>
      <w:marLeft w:val="0"/>
      <w:marRight w:val="0"/>
      <w:marTop w:val="0"/>
      <w:marBottom w:val="0"/>
      <w:divBdr>
        <w:top w:val="none" w:sz="0" w:space="0" w:color="auto"/>
        <w:left w:val="none" w:sz="0" w:space="0" w:color="auto"/>
        <w:bottom w:val="none" w:sz="0" w:space="0" w:color="auto"/>
        <w:right w:val="none" w:sz="0" w:space="0" w:color="auto"/>
      </w:divBdr>
      <w:divsChild>
        <w:div w:id="461776716">
          <w:marLeft w:val="0"/>
          <w:marRight w:val="0"/>
          <w:marTop w:val="0"/>
          <w:marBottom w:val="0"/>
          <w:divBdr>
            <w:top w:val="none" w:sz="0" w:space="0" w:color="auto"/>
            <w:left w:val="none" w:sz="0" w:space="0" w:color="auto"/>
            <w:bottom w:val="none" w:sz="0" w:space="0" w:color="auto"/>
            <w:right w:val="none" w:sz="0" w:space="0" w:color="auto"/>
          </w:divBdr>
        </w:div>
      </w:divsChild>
    </w:div>
    <w:div w:id="487749685">
      <w:bodyDiv w:val="1"/>
      <w:marLeft w:val="0"/>
      <w:marRight w:val="0"/>
      <w:marTop w:val="0"/>
      <w:marBottom w:val="0"/>
      <w:divBdr>
        <w:top w:val="none" w:sz="0" w:space="0" w:color="auto"/>
        <w:left w:val="none" w:sz="0" w:space="0" w:color="auto"/>
        <w:bottom w:val="none" w:sz="0" w:space="0" w:color="auto"/>
        <w:right w:val="none" w:sz="0" w:space="0" w:color="auto"/>
      </w:divBdr>
      <w:divsChild>
        <w:div w:id="1993018676">
          <w:marLeft w:val="0"/>
          <w:marRight w:val="0"/>
          <w:marTop w:val="0"/>
          <w:marBottom w:val="0"/>
          <w:divBdr>
            <w:top w:val="none" w:sz="0" w:space="0" w:color="auto"/>
            <w:left w:val="none" w:sz="0" w:space="0" w:color="auto"/>
            <w:bottom w:val="none" w:sz="0" w:space="0" w:color="auto"/>
            <w:right w:val="none" w:sz="0" w:space="0" w:color="auto"/>
          </w:divBdr>
        </w:div>
      </w:divsChild>
    </w:div>
    <w:div w:id="493910856">
      <w:bodyDiv w:val="1"/>
      <w:marLeft w:val="0"/>
      <w:marRight w:val="0"/>
      <w:marTop w:val="0"/>
      <w:marBottom w:val="0"/>
      <w:divBdr>
        <w:top w:val="none" w:sz="0" w:space="0" w:color="auto"/>
        <w:left w:val="none" w:sz="0" w:space="0" w:color="auto"/>
        <w:bottom w:val="none" w:sz="0" w:space="0" w:color="auto"/>
        <w:right w:val="none" w:sz="0" w:space="0" w:color="auto"/>
      </w:divBdr>
      <w:divsChild>
        <w:div w:id="1755201521">
          <w:marLeft w:val="0"/>
          <w:marRight w:val="0"/>
          <w:marTop w:val="0"/>
          <w:marBottom w:val="0"/>
          <w:divBdr>
            <w:top w:val="none" w:sz="0" w:space="0" w:color="auto"/>
            <w:left w:val="none" w:sz="0" w:space="0" w:color="auto"/>
            <w:bottom w:val="none" w:sz="0" w:space="0" w:color="auto"/>
            <w:right w:val="none" w:sz="0" w:space="0" w:color="auto"/>
          </w:divBdr>
        </w:div>
      </w:divsChild>
    </w:div>
    <w:div w:id="503128200">
      <w:bodyDiv w:val="1"/>
      <w:marLeft w:val="0"/>
      <w:marRight w:val="0"/>
      <w:marTop w:val="0"/>
      <w:marBottom w:val="0"/>
      <w:divBdr>
        <w:top w:val="none" w:sz="0" w:space="0" w:color="auto"/>
        <w:left w:val="none" w:sz="0" w:space="0" w:color="auto"/>
        <w:bottom w:val="none" w:sz="0" w:space="0" w:color="auto"/>
        <w:right w:val="none" w:sz="0" w:space="0" w:color="auto"/>
      </w:divBdr>
    </w:div>
    <w:div w:id="516193916">
      <w:bodyDiv w:val="1"/>
      <w:marLeft w:val="0"/>
      <w:marRight w:val="0"/>
      <w:marTop w:val="0"/>
      <w:marBottom w:val="0"/>
      <w:divBdr>
        <w:top w:val="none" w:sz="0" w:space="0" w:color="auto"/>
        <w:left w:val="none" w:sz="0" w:space="0" w:color="auto"/>
        <w:bottom w:val="none" w:sz="0" w:space="0" w:color="auto"/>
        <w:right w:val="none" w:sz="0" w:space="0" w:color="auto"/>
      </w:divBdr>
    </w:div>
    <w:div w:id="541794335">
      <w:bodyDiv w:val="1"/>
      <w:marLeft w:val="0"/>
      <w:marRight w:val="0"/>
      <w:marTop w:val="0"/>
      <w:marBottom w:val="0"/>
      <w:divBdr>
        <w:top w:val="none" w:sz="0" w:space="0" w:color="auto"/>
        <w:left w:val="none" w:sz="0" w:space="0" w:color="auto"/>
        <w:bottom w:val="none" w:sz="0" w:space="0" w:color="auto"/>
        <w:right w:val="none" w:sz="0" w:space="0" w:color="auto"/>
      </w:divBdr>
      <w:divsChild>
        <w:div w:id="61099858">
          <w:marLeft w:val="0"/>
          <w:marRight w:val="0"/>
          <w:marTop w:val="0"/>
          <w:marBottom w:val="0"/>
          <w:divBdr>
            <w:top w:val="none" w:sz="0" w:space="0" w:color="auto"/>
            <w:left w:val="none" w:sz="0" w:space="0" w:color="auto"/>
            <w:bottom w:val="none" w:sz="0" w:space="0" w:color="auto"/>
            <w:right w:val="none" w:sz="0" w:space="0" w:color="auto"/>
          </w:divBdr>
        </w:div>
      </w:divsChild>
    </w:div>
    <w:div w:id="563443591">
      <w:bodyDiv w:val="1"/>
      <w:marLeft w:val="0"/>
      <w:marRight w:val="0"/>
      <w:marTop w:val="0"/>
      <w:marBottom w:val="0"/>
      <w:divBdr>
        <w:top w:val="none" w:sz="0" w:space="0" w:color="auto"/>
        <w:left w:val="none" w:sz="0" w:space="0" w:color="auto"/>
        <w:bottom w:val="none" w:sz="0" w:space="0" w:color="auto"/>
        <w:right w:val="none" w:sz="0" w:space="0" w:color="auto"/>
      </w:divBdr>
    </w:div>
    <w:div w:id="572551352">
      <w:bodyDiv w:val="1"/>
      <w:marLeft w:val="0"/>
      <w:marRight w:val="0"/>
      <w:marTop w:val="0"/>
      <w:marBottom w:val="0"/>
      <w:divBdr>
        <w:top w:val="none" w:sz="0" w:space="0" w:color="auto"/>
        <w:left w:val="none" w:sz="0" w:space="0" w:color="auto"/>
        <w:bottom w:val="none" w:sz="0" w:space="0" w:color="auto"/>
        <w:right w:val="none" w:sz="0" w:space="0" w:color="auto"/>
      </w:divBdr>
      <w:divsChild>
        <w:div w:id="1205950237">
          <w:marLeft w:val="0"/>
          <w:marRight w:val="0"/>
          <w:marTop w:val="0"/>
          <w:marBottom w:val="0"/>
          <w:divBdr>
            <w:top w:val="none" w:sz="0" w:space="0" w:color="auto"/>
            <w:left w:val="none" w:sz="0" w:space="0" w:color="auto"/>
            <w:bottom w:val="none" w:sz="0" w:space="0" w:color="auto"/>
            <w:right w:val="none" w:sz="0" w:space="0" w:color="auto"/>
          </w:divBdr>
        </w:div>
      </w:divsChild>
    </w:div>
    <w:div w:id="582490508">
      <w:bodyDiv w:val="1"/>
      <w:marLeft w:val="0"/>
      <w:marRight w:val="0"/>
      <w:marTop w:val="0"/>
      <w:marBottom w:val="0"/>
      <w:divBdr>
        <w:top w:val="none" w:sz="0" w:space="0" w:color="auto"/>
        <w:left w:val="none" w:sz="0" w:space="0" w:color="auto"/>
        <w:bottom w:val="none" w:sz="0" w:space="0" w:color="auto"/>
        <w:right w:val="none" w:sz="0" w:space="0" w:color="auto"/>
      </w:divBdr>
    </w:div>
    <w:div w:id="600800195">
      <w:bodyDiv w:val="1"/>
      <w:marLeft w:val="0"/>
      <w:marRight w:val="0"/>
      <w:marTop w:val="0"/>
      <w:marBottom w:val="0"/>
      <w:divBdr>
        <w:top w:val="none" w:sz="0" w:space="0" w:color="auto"/>
        <w:left w:val="none" w:sz="0" w:space="0" w:color="auto"/>
        <w:bottom w:val="none" w:sz="0" w:space="0" w:color="auto"/>
        <w:right w:val="none" w:sz="0" w:space="0" w:color="auto"/>
      </w:divBdr>
      <w:divsChild>
        <w:div w:id="798377086">
          <w:marLeft w:val="0"/>
          <w:marRight w:val="0"/>
          <w:marTop w:val="0"/>
          <w:marBottom w:val="0"/>
          <w:divBdr>
            <w:top w:val="none" w:sz="0" w:space="0" w:color="auto"/>
            <w:left w:val="none" w:sz="0" w:space="0" w:color="auto"/>
            <w:bottom w:val="none" w:sz="0" w:space="0" w:color="auto"/>
            <w:right w:val="none" w:sz="0" w:space="0" w:color="auto"/>
          </w:divBdr>
        </w:div>
      </w:divsChild>
    </w:div>
    <w:div w:id="606894045">
      <w:bodyDiv w:val="1"/>
      <w:marLeft w:val="0"/>
      <w:marRight w:val="0"/>
      <w:marTop w:val="0"/>
      <w:marBottom w:val="0"/>
      <w:divBdr>
        <w:top w:val="none" w:sz="0" w:space="0" w:color="auto"/>
        <w:left w:val="none" w:sz="0" w:space="0" w:color="auto"/>
        <w:bottom w:val="none" w:sz="0" w:space="0" w:color="auto"/>
        <w:right w:val="none" w:sz="0" w:space="0" w:color="auto"/>
      </w:divBdr>
      <w:divsChild>
        <w:div w:id="870654392">
          <w:marLeft w:val="0"/>
          <w:marRight w:val="0"/>
          <w:marTop w:val="0"/>
          <w:marBottom w:val="0"/>
          <w:divBdr>
            <w:top w:val="none" w:sz="0" w:space="0" w:color="auto"/>
            <w:left w:val="none" w:sz="0" w:space="0" w:color="auto"/>
            <w:bottom w:val="none" w:sz="0" w:space="0" w:color="auto"/>
            <w:right w:val="none" w:sz="0" w:space="0" w:color="auto"/>
          </w:divBdr>
        </w:div>
      </w:divsChild>
    </w:div>
    <w:div w:id="610669110">
      <w:bodyDiv w:val="1"/>
      <w:marLeft w:val="0"/>
      <w:marRight w:val="0"/>
      <w:marTop w:val="0"/>
      <w:marBottom w:val="0"/>
      <w:divBdr>
        <w:top w:val="none" w:sz="0" w:space="0" w:color="auto"/>
        <w:left w:val="none" w:sz="0" w:space="0" w:color="auto"/>
        <w:bottom w:val="none" w:sz="0" w:space="0" w:color="auto"/>
        <w:right w:val="none" w:sz="0" w:space="0" w:color="auto"/>
      </w:divBdr>
      <w:divsChild>
        <w:div w:id="333413175">
          <w:marLeft w:val="0"/>
          <w:marRight w:val="0"/>
          <w:marTop w:val="0"/>
          <w:marBottom w:val="0"/>
          <w:divBdr>
            <w:top w:val="none" w:sz="0" w:space="0" w:color="auto"/>
            <w:left w:val="none" w:sz="0" w:space="0" w:color="auto"/>
            <w:bottom w:val="none" w:sz="0" w:space="0" w:color="auto"/>
            <w:right w:val="none" w:sz="0" w:space="0" w:color="auto"/>
          </w:divBdr>
        </w:div>
      </w:divsChild>
    </w:div>
    <w:div w:id="615791059">
      <w:bodyDiv w:val="1"/>
      <w:marLeft w:val="0"/>
      <w:marRight w:val="0"/>
      <w:marTop w:val="0"/>
      <w:marBottom w:val="0"/>
      <w:divBdr>
        <w:top w:val="none" w:sz="0" w:space="0" w:color="auto"/>
        <w:left w:val="none" w:sz="0" w:space="0" w:color="auto"/>
        <w:bottom w:val="none" w:sz="0" w:space="0" w:color="auto"/>
        <w:right w:val="none" w:sz="0" w:space="0" w:color="auto"/>
      </w:divBdr>
      <w:divsChild>
        <w:div w:id="623736531">
          <w:marLeft w:val="0"/>
          <w:marRight w:val="0"/>
          <w:marTop w:val="0"/>
          <w:marBottom w:val="0"/>
          <w:divBdr>
            <w:top w:val="none" w:sz="0" w:space="0" w:color="auto"/>
            <w:left w:val="none" w:sz="0" w:space="0" w:color="auto"/>
            <w:bottom w:val="none" w:sz="0" w:space="0" w:color="auto"/>
            <w:right w:val="none" w:sz="0" w:space="0" w:color="auto"/>
          </w:divBdr>
        </w:div>
      </w:divsChild>
    </w:div>
    <w:div w:id="650334680">
      <w:bodyDiv w:val="1"/>
      <w:marLeft w:val="0"/>
      <w:marRight w:val="0"/>
      <w:marTop w:val="0"/>
      <w:marBottom w:val="0"/>
      <w:divBdr>
        <w:top w:val="none" w:sz="0" w:space="0" w:color="auto"/>
        <w:left w:val="none" w:sz="0" w:space="0" w:color="auto"/>
        <w:bottom w:val="none" w:sz="0" w:space="0" w:color="auto"/>
        <w:right w:val="none" w:sz="0" w:space="0" w:color="auto"/>
      </w:divBdr>
    </w:div>
    <w:div w:id="650523771">
      <w:bodyDiv w:val="1"/>
      <w:marLeft w:val="0"/>
      <w:marRight w:val="0"/>
      <w:marTop w:val="0"/>
      <w:marBottom w:val="0"/>
      <w:divBdr>
        <w:top w:val="none" w:sz="0" w:space="0" w:color="auto"/>
        <w:left w:val="none" w:sz="0" w:space="0" w:color="auto"/>
        <w:bottom w:val="none" w:sz="0" w:space="0" w:color="auto"/>
        <w:right w:val="none" w:sz="0" w:space="0" w:color="auto"/>
      </w:divBdr>
    </w:div>
    <w:div w:id="651835985">
      <w:bodyDiv w:val="1"/>
      <w:marLeft w:val="0"/>
      <w:marRight w:val="0"/>
      <w:marTop w:val="0"/>
      <w:marBottom w:val="0"/>
      <w:divBdr>
        <w:top w:val="none" w:sz="0" w:space="0" w:color="auto"/>
        <w:left w:val="none" w:sz="0" w:space="0" w:color="auto"/>
        <w:bottom w:val="none" w:sz="0" w:space="0" w:color="auto"/>
        <w:right w:val="none" w:sz="0" w:space="0" w:color="auto"/>
      </w:divBdr>
    </w:div>
    <w:div w:id="660038865">
      <w:bodyDiv w:val="1"/>
      <w:marLeft w:val="0"/>
      <w:marRight w:val="0"/>
      <w:marTop w:val="0"/>
      <w:marBottom w:val="0"/>
      <w:divBdr>
        <w:top w:val="none" w:sz="0" w:space="0" w:color="auto"/>
        <w:left w:val="none" w:sz="0" w:space="0" w:color="auto"/>
        <w:bottom w:val="none" w:sz="0" w:space="0" w:color="auto"/>
        <w:right w:val="none" w:sz="0" w:space="0" w:color="auto"/>
      </w:divBdr>
      <w:divsChild>
        <w:div w:id="224682245">
          <w:marLeft w:val="0"/>
          <w:marRight w:val="0"/>
          <w:marTop w:val="0"/>
          <w:marBottom w:val="0"/>
          <w:divBdr>
            <w:top w:val="none" w:sz="0" w:space="0" w:color="auto"/>
            <w:left w:val="none" w:sz="0" w:space="0" w:color="auto"/>
            <w:bottom w:val="none" w:sz="0" w:space="0" w:color="auto"/>
            <w:right w:val="none" w:sz="0" w:space="0" w:color="auto"/>
          </w:divBdr>
        </w:div>
      </w:divsChild>
    </w:div>
    <w:div w:id="663509890">
      <w:bodyDiv w:val="1"/>
      <w:marLeft w:val="0"/>
      <w:marRight w:val="0"/>
      <w:marTop w:val="0"/>
      <w:marBottom w:val="0"/>
      <w:divBdr>
        <w:top w:val="none" w:sz="0" w:space="0" w:color="auto"/>
        <w:left w:val="none" w:sz="0" w:space="0" w:color="auto"/>
        <w:bottom w:val="none" w:sz="0" w:space="0" w:color="auto"/>
        <w:right w:val="none" w:sz="0" w:space="0" w:color="auto"/>
      </w:divBdr>
    </w:div>
    <w:div w:id="668604924">
      <w:bodyDiv w:val="1"/>
      <w:marLeft w:val="0"/>
      <w:marRight w:val="0"/>
      <w:marTop w:val="0"/>
      <w:marBottom w:val="0"/>
      <w:divBdr>
        <w:top w:val="none" w:sz="0" w:space="0" w:color="auto"/>
        <w:left w:val="none" w:sz="0" w:space="0" w:color="auto"/>
        <w:bottom w:val="none" w:sz="0" w:space="0" w:color="auto"/>
        <w:right w:val="none" w:sz="0" w:space="0" w:color="auto"/>
      </w:divBdr>
    </w:div>
    <w:div w:id="669410964">
      <w:bodyDiv w:val="1"/>
      <w:marLeft w:val="0"/>
      <w:marRight w:val="0"/>
      <w:marTop w:val="0"/>
      <w:marBottom w:val="0"/>
      <w:divBdr>
        <w:top w:val="none" w:sz="0" w:space="0" w:color="auto"/>
        <w:left w:val="none" w:sz="0" w:space="0" w:color="auto"/>
        <w:bottom w:val="none" w:sz="0" w:space="0" w:color="auto"/>
        <w:right w:val="none" w:sz="0" w:space="0" w:color="auto"/>
      </w:divBdr>
    </w:div>
    <w:div w:id="670525827">
      <w:bodyDiv w:val="1"/>
      <w:marLeft w:val="0"/>
      <w:marRight w:val="0"/>
      <w:marTop w:val="0"/>
      <w:marBottom w:val="0"/>
      <w:divBdr>
        <w:top w:val="none" w:sz="0" w:space="0" w:color="auto"/>
        <w:left w:val="none" w:sz="0" w:space="0" w:color="auto"/>
        <w:bottom w:val="none" w:sz="0" w:space="0" w:color="auto"/>
        <w:right w:val="none" w:sz="0" w:space="0" w:color="auto"/>
      </w:divBdr>
    </w:div>
    <w:div w:id="687223446">
      <w:bodyDiv w:val="1"/>
      <w:marLeft w:val="0"/>
      <w:marRight w:val="0"/>
      <w:marTop w:val="0"/>
      <w:marBottom w:val="0"/>
      <w:divBdr>
        <w:top w:val="none" w:sz="0" w:space="0" w:color="auto"/>
        <w:left w:val="none" w:sz="0" w:space="0" w:color="auto"/>
        <w:bottom w:val="none" w:sz="0" w:space="0" w:color="auto"/>
        <w:right w:val="none" w:sz="0" w:space="0" w:color="auto"/>
      </w:divBdr>
    </w:div>
    <w:div w:id="690105641">
      <w:bodyDiv w:val="1"/>
      <w:marLeft w:val="0"/>
      <w:marRight w:val="0"/>
      <w:marTop w:val="0"/>
      <w:marBottom w:val="0"/>
      <w:divBdr>
        <w:top w:val="none" w:sz="0" w:space="0" w:color="auto"/>
        <w:left w:val="none" w:sz="0" w:space="0" w:color="auto"/>
        <w:bottom w:val="none" w:sz="0" w:space="0" w:color="auto"/>
        <w:right w:val="none" w:sz="0" w:space="0" w:color="auto"/>
      </w:divBdr>
    </w:div>
    <w:div w:id="696582697">
      <w:bodyDiv w:val="1"/>
      <w:marLeft w:val="0"/>
      <w:marRight w:val="0"/>
      <w:marTop w:val="0"/>
      <w:marBottom w:val="0"/>
      <w:divBdr>
        <w:top w:val="none" w:sz="0" w:space="0" w:color="auto"/>
        <w:left w:val="none" w:sz="0" w:space="0" w:color="auto"/>
        <w:bottom w:val="none" w:sz="0" w:space="0" w:color="auto"/>
        <w:right w:val="none" w:sz="0" w:space="0" w:color="auto"/>
      </w:divBdr>
      <w:divsChild>
        <w:div w:id="622686867">
          <w:marLeft w:val="0"/>
          <w:marRight w:val="0"/>
          <w:marTop w:val="0"/>
          <w:marBottom w:val="0"/>
          <w:divBdr>
            <w:top w:val="none" w:sz="0" w:space="0" w:color="auto"/>
            <w:left w:val="none" w:sz="0" w:space="0" w:color="auto"/>
            <w:bottom w:val="none" w:sz="0" w:space="0" w:color="auto"/>
            <w:right w:val="none" w:sz="0" w:space="0" w:color="auto"/>
          </w:divBdr>
        </w:div>
      </w:divsChild>
    </w:div>
    <w:div w:id="710881713">
      <w:bodyDiv w:val="1"/>
      <w:marLeft w:val="0"/>
      <w:marRight w:val="0"/>
      <w:marTop w:val="0"/>
      <w:marBottom w:val="0"/>
      <w:divBdr>
        <w:top w:val="none" w:sz="0" w:space="0" w:color="auto"/>
        <w:left w:val="none" w:sz="0" w:space="0" w:color="auto"/>
        <w:bottom w:val="none" w:sz="0" w:space="0" w:color="auto"/>
        <w:right w:val="none" w:sz="0" w:space="0" w:color="auto"/>
      </w:divBdr>
      <w:divsChild>
        <w:div w:id="786854564">
          <w:marLeft w:val="0"/>
          <w:marRight w:val="0"/>
          <w:marTop w:val="0"/>
          <w:marBottom w:val="0"/>
          <w:divBdr>
            <w:top w:val="none" w:sz="0" w:space="0" w:color="auto"/>
            <w:left w:val="none" w:sz="0" w:space="0" w:color="auto"/>
            <w:bottom w:val="none" w:sz="0" w:space="0" w:color="auto"/>
            <w:right w:val="none" w:sz="0" w:space="0" w:color="auto"/>
          </w:divBdr>
        </w:div>
      </w:divsChild>
    </w:div>
    <w:div w:id="713847679">
      <w:bodyDiv w:val="1"/>
      <w:marLeft w:val="0"/>
      <w:marRight w:val="0"/>
      <w:marTop w:val="0"/>
      <w:marBottom w:val="0"/>
      <w:divBdr>
        <w:top w:val="none" w:sz="0" w:space="0" w:color="auto"/>
        <w:left w:val="none" w:sz="0" w:space="0" w:color="auto"/>
        <w:bottom w:val="none" w:sz="0" w:space="0" w:color="auto"/>
        <w:right w:val="none" w:sz="0" w:space="0" w:color="auto"/>
      </w:divBdr>
    </w:div>
    <w:div w:id="740370759">
      <w:bodyDiv w:val="1"/>
      <w:marLeft w:val="0"/>
      <w:marRight w:val="0"/>
      <w:marTop w:val="0"/>
      <w:marBottom w:val="0"/>
      <w:divBdr>
        <w:top w:val="none" w:sz="0" w:space="0" w:color="auto"/>
        <w:left w:val="none" w:sz="0" w:space="0" w:color="auto"/>
        <w:bottom w:val="none" w:sz="0" w:space="0" w:color="auto"/>
        <w:right w:val="none" w:sz="0" w:space="0" w:color="auto"/>
      </w:divBdr>
    </w:div>
    <w:div w:id="767895803">
      <w:bodyDiv w:val="1"/>
      <w:marLeft w:val="0"/>
      <w:marRight w:val="0"/>
      <w:marTop w:val="0"/>
      <w:marBottom w:val="0"/>
      <w:divBdr>
        <w:top w:val="none" w:sz="0" w:space="0" w:color="auto"/>
        <w:left w:val="none" w:sz="0" w:space="0" w:color="auto"/>
        <w:bottom w:val="none" w:sz="0" w:space="0" w:color="auto"/>
        <w:right w:val="none" w:sz="0" w:space="0" w:color="auto"/>
      </w:divBdr>
      <w:divsChild>
        <w:div w:id="1952976818">
          <w:marLeft w:val="0"/>
          <w:marRight w:val="0"/>
          <w:marTop w:val="0"/>
          <w:marBottom w:val="0"/>
          <w:divBdr>
            <w:top w:val="none" w:sz="0" w:space="0" w:color="auto"/>
            <w:left w:val="none" w:sz="0" w:space="0" w:color="auto"/>
            <w:bottom w:val="none" w:sz="0" w:space="0" w:color="auto"/>
            <w:right w:val="none" w:sz="0" w:space="0" w:color="auto"/>
          </w:divBdr>
        </w:div>
      </w:divsChild>
    </w:div>
    <w:div w:id="780956345">
      <w:bodyDiv w:val="1"/>
      <w:marLeft w:val="0"/>
      <w:marRight w:val="0"/>
      <w:marTop w:val="0"/>
      <w:marBottom w:val="0"/>
      <w:divBdr>
        <w:top w:val="none" w:sz="0" w:space="0" w:color="auto"/>
        <w:left w:val="none" w:sz="0" w:space="0" w:color="auto"/>
        <w:bottom w:val="none" w:sz="0" w:space="0" w:color="auto"/>
        <w:right w:val="none" w:sz="0" w:space="0" w:color="auto"/>
      </w:divBdr>
    </w:div>
    <w:div w:id="786005576">
      <w:bodyDiv w:val="1"/>
      <w:marLeft w:val="0"/>
      <w:marRight w:val="0"/>
      <w:marTop w:val="0"/>
      <w:marBottom w:val="0"/>
      <w:divBdr>
        <w:top w:val="none" w:sz="0" w:space="0" w:color="auto"/>
        <w:left w:val="none" w:sz="0" w:space="0" w:color="auto"/>
        <w:bottom w:val="none" w:sz="0" w:space="0" w:color="auto"/>
        <w:right w:val="none" w:sz="0" w:space="0" w:color="auto"/>
      </w:divBdr>
    </w:div>
    <w:div w:id="787896357">
      <w:bodyDiv w:val="1"/>
      <w:marLeft w:val="0"/>
      <w:marRight w:val="0"/>
      <w:marTop w:val="0"/>
      <w:marBottom w:val="0"/>
      <w:divBdr>
        <w:top w:val="none" w:sz="0" w:space="0" w:color="auto"/>
        <w:left w:val="none" w:sz="0" w:space="0" w:color="auto"/>
        <w:bottom w:val="none" w:sz="0" w:space="0" w:color="auto"/>
        <w:right w:val="none" w:sz="0" w:space="0" w:color="auto"/>
      </w:divBdr>
    </w:div>
    <w:div w:id="792597962">
      <w:bodyDiv w:val="1"/>
      <w:marLeft w:val="0"/>
      <w:marRight w:val="0"/>
      <w:marTop w:val="0"/>
      <w:marBottom w:val="0"/>
      <w:divBdr>
        <w:top w:val="none" w:sz="0" w:space="0" w:color="auto"/>
        <w:left w:val="none" w:sz="0" w:space="0" w:color="auto"/>
        <w:bottom w:val="none" w:sz="0" w:space="0" w:color="auto"/>
        <w:right w:val="none" w:sz="0" w:space="0" w:color="auto"/>
      </w:divBdr>
    </w:div>
    <w:div w:id="800464227">
      <w:bodyDiv w:val="1"/>
      <w:marLeft w:val="0"/>
      <w:marRight w:val="0"/>
      <w:marTop w:val="0"/>
      <w:marBottom w:val="0"/>
      <w:divBdr>
        <w:top w:val="none" w:sz="0" w:space="0" w:color="auto"/>
        <w:left w:val="none" w:sz="0" w:space="0" w:color="auto"/>
        <w:bottom w:val="none" w:sz="0" w:space="0" w:color="auto"/>
        <w:right w:val="none" w:sz="0" w:space="0" w:color="auto"/>
      </w:divBdr>
      <w:divsChild>
        <w:div w:id="815418434">
          <w:marLeft w:val="0"/>
          <w:marRight w:val="0"/>
          <w:marTop w:val="0"/>
          <w:marBottom w:val="0"/>
          <w:divBdr>
            <w:top w:val="none" w:sz="0" w:space="0" w:color="auto"/>
            <w:left w:val="none" w:sz="0" w:space="0" w:color="auto"/>
            <w:bottom w:val="none" w:sz="0" w:space="0" w:color="auto"/>
            <w:right w:val="none" w:sz="0" w:space="0" w:color="auto"/>
          </w:divBdr>
        </w:div>
      </w:divsChild>
    </w:div>
    <w:div w:id="821234652">
      <w:bodyDiv w:val="1"/>
      <w:marLeft w:val="0"/>
      <w:marRight w:val="0"/>
      <w:marTop w:val="0"/>
      <w:marBottom w:val="0"/>
      <w:divBdr>
        <w:top w:val="none" w:sz="0" w:space="0" w:color="auto"/>
        <w:left w:val="none" w:sz="0" w:space="0" w:color="auto"/>
        <w:bottom w:val="none" w:sz="0" w:space="0" w:color="auto"/>
        <w:right w:val="none" w:sz="0" w:space="0" w:color="auto"/>
      </w:divBdr>
      <w:divsChild>
        <w:div w:id="1354502343">
          <w:marLeft w:val="0"/>
          <w:marRight w:val="0"/>
          <w:marTop w:val="0"/>
          <w:marBottom w:val="0"/>
          <w:divBdr>
            <w:top w:val="none" w:sz="0" w:space="0" w:color="auto"/>
            <w:left w:val="none" w:sz="0" w:space="0" w:color="auto"/>
            <w:bottom w:val="none" w:sz="0" w:space="0" w:color="auto"/>
            <w:right w:val="none" w:sz="0" w:space="0" w:color="auto"/>
          </w:divBdr>
        </w:div>
      </w:divsChild>
    </w:div>
    <w:div w:id="835026849">
      <w:bodyDiv w:val="1"/>
      <w:marLeft w:val="0"/>
      <w:marRight w:val="0"/>
      <w:marTop w:val="0"/>
      <w:marBottom w:val="0"/>
      <w:divBdr>
        <w:top w:val="none" w:sz="0" w:space="0" w:color="auto"/>
        <w:left w:val="none" w:sz="0" w:space="0" w:color="auto"/>
        <w:bottom w:val="none" w:sz="0" w:space="0" w:color="auto"/>
        <w:right w:val="none" w:sz="0" w:space="0" w:color="auto"/>
      </w:divBdr>
    </w:div>
    <w:div w:id="843011322">
      <w:bodyDiv w:val="1"/>
      <w:marLeft w:val="0"/>
      <w:marRight w:val="0"/>
      <w:marTop w:val="0"/>
      <w:marBottom w:val="0"/>
      <w:divBdr>
        <w:top w:val="none" w:sz="0" w:space="0" w:color="auto"/>
        <w:left w:val="none" w:sz="0" w:space="0" w:color="auto"/>
        <w:bottom w:val="none" w:sz="0" w:space="0" w:color="auto"/>
        <w:right w:val="none" w:sz="0" w:space="0" w:color="auto"/>
      </w:divBdr>
      <w:divsChild>
        <w:div w:id="1492988542">
          <w:marLeft w:val="0"/>
          <w:marRight w:val="0"/>
          <w:marTop w:val="0"/>
          <w:marBottom w:val="0"/>
          <w:divBdr>
            <w:top w:val="none" w:sz="0" w:space="0" w:color="auto"/>
            <w:left w:val="none" w:sz="0" w:space="0" w:color="auto"/>
            <w:bottom w:val="none" w:sz="0" w:space="0" w:color="auto"/>
            <w:right w:val="none" w:sz="0" w:space="0" w:color="auto"/>
          </w:divBdr>
        </w:div>
      </w:divsChild>
    </w:div>
    <w:div w:id="848451511">
      <w:bodyDiv w:val="1"/>
      <w:marLeft w:val="0"/>
      <w:marRight w:val="0"/>
      <w:marTop w:val="0"/>
      <w:marBottom w:val="0"/>
      <w:divBdr>
        <w:top w:val="none" w:sz="0" w:space="0" w:color="auto"/>
        <w:left w:val="none" w:sz="0" w:space="0" w:color="auto"/>
        <w:bottom w:val="none" w:sz="0" w:space="0" w:color="auto"/>
        <w:right w:val="none" w:sz="0" w:space="0" w:color="auto"/>
      </w:divBdr>
      <w:divsChild>
        <w:div w:id="411974117">
          <w:marLeft w:val="0"/>
          <w:marRight w:val="0"/>
          <w:marTop w:val="0"/>
          <w:marBottom w:val="0"/>
          <w:divBdr>
            <w:top w:val="none" w:sz="0" w:space="0" w:color="auto"/>
            <w:left w:val="none" w:sz="0" w:space="0" w:color="auto"/>
            <w:bottom w:val="none" w:sz="0" w:space="0" w:color="auto"/>
            <w:right w:val="none" w:sz="0" w:space="0" w:color="auto"/>
          </w:divBdr>
        </w:div>
      </w:divsChild>
    </w:div>
    <w:div w:id="853958538">
      <w:bodyDiv w:val="1"/>
      <w:marLeft w:val="0"/>
      <w:marRight w:val="0"/>
      <w:marTop w:val="0"/>
      <w:marBottom w:val="0"/>
      <w:divBdr>
        <w:top w:val="none" w:sz="0" w:space="0" w:color="auto"/>
        <w:left w:val="none" w:sz="0" w:space="0" w:color="auto"/>
        <w:bottom w:val="none" w:sz="0" w:space="0" w:color="auto"/>
        <w:right w:val="none" w:sz="0" w:space="0" w:color="auto"/>
      </w:divBdr>
    </w:div>
    <w:div w:id="854072029">
      <w:bodyDiv w:val="1"/>
      <w:marLeft w:val="0"/>
      <w:marRight w:val="0"/>
      <w:marTop w:val="0"/>
      <w:marBottom w:val="0"/>
      <w:divBdr>
        <w:top w:val="none" w:sz="0" w:space="0" w:color="auto"/>
        <w:left w:val="none" w:sz="0" w:space="0" w:color="auto"/>
        <w:bottom w:val="none" w:sz="0" w:space="0" w:color="auto"/>
        <w:right w:val="none" w:sz="0" w:space="0" w:color="auto"/>
      </w:divBdr>
      <w:divsChild>
        <w:div w:id="1245531009">
          <w:marLeft w:val="0"/>
          <w:marRight w:val="0"/>
          <w:marTop w:val="0"/>
          <w:marBottom w:val="0"/>
          <w:divBdr>
            <w:top w:val="none" w:sz="0" w:space="0" w:color="auto"/>
            <w:left w:val="none" w:sz="0" w:space="0" w:color="auto"/>
            <w:bottom w:val="none" w:sz="0" w:space="0" w:color="auto"/>
            <w:right w:val="none" w:sz="0" w:space="0" w:color="auto"/>
          </w:divBdr>
        </w:div>
      </w:divsChild>
    </w:div>
    <w:div w:id="864563870">
      <w:bodyDiv w:val="1"/>
      <w:marLeft w:val="0"/>
      <w:marRight w:val="0"/>
      <w:marTop w:val="0"/>
      <w:marBottom w:val="0"/>
      <w:divBdr>
        <w:top w:val="none" w:sz="0" w:space="0" w:color="auto"/>
        <w:left w:val="none" w:sz="0" w:space="0" w:color="auto"/>
        <w:bottom w:val="none" w:sz="0" w:space="0" w:color="auto"/>
        <w:right w:val="none" w:sz="0" w:space="0" w:color="auto"/>
      </w:divBdr>
      <w:divsChild>
        <w:div w:id="1982028631">
          <w:marLeft w:val="0"/>
          <w:marRight w:val="0"/>
          <w:marTop w:val="0"/>
          <w:marBottom w:val="0"/>
          <w:divBdr>
            <w:top w:val="none" w:sz="0" w:space="0" w:color="auto"/>
            <w:left w:val="none" w:sz="0" w:space="0" w:color="auto"/>
            <w:bottom w:val="none" w:sz="0" w:space="0" w:color="auto"/>
            <w:right w:val="none" w:sz="0" w:space="0" w:color="auto"/>
          </w:divBdr>
        </w:div>
      </w:divsChild>
    </w:div>
    <w:div w:id="866992363">
      <w:bodyDiv w:val="1"/>
      <w:marLeft w:val="0"/>
      <w:marRight w:val="0"/>
      <w:marTop w:val="0"/>
      <w:marBottom w:val="0"/>
      <w:divBdr>
        <w:top w:val="none" w:sz="0" w:space="0" w:color="auto"/>
        <w:left w:val="none" w:sz="0" w:space="0" w:color="auto"/>
        <w:bottom w:val="none" w:sz="0" w:space="0" w:color="auto"/>
        <w:right w:val="none" w:sz="0" w:space="0" w:color="auto"/>
      </w:divBdr>
    </w:div>
    <w:div w:id="868446650">
      <w:bodyDiv w:val="1"/>
      <w:marLeft w:val="0"/>
      <w:marRight w:val="0"/>
      <w:marTop w:val="0"/>
      <w:marBottom w:val="0"/>
      <w:divBdr>
        <w:top w:val="none" w:sz="0" w:space="0" w:color="auto"/>
        <w:left w:val="none" w:sz="0" w:space="0" w:color="auto"/>
        <w:bottom w:val="none" w:sz="0" w:space="0" w:color="auto"/>
        <w:right w:val="none" w:sz="0" w:space="0" w:color="auto"/>
      </w:divBdr>
    </w:div>
    <w:div w:id="871766224">
      <w:bodyDiv w:val="1"/>
      <w:marLeft w:val="0"/>
      <w:marRight w:val="0"/>
      <w:marTop w:val="0"/>
      <w:marBottom w:val="0"/>
      <w:divBdr>
        <w:top w:val="none" w:sz="0" w:space="0" w:color="auto"/>
        <w:left w:val="none" w:sz="0" w:space="0" w:color="auto"/>
        <w:bottom w:val="none" w:sz="0" w:space="0" w:color="auto"/>
        <w:right w:val="none" w:sz="0" w:space="0" w:color="auto"/>
      </w:divBdr>
      <w:divsChild>
        <w:div w:id="1399674190">
          <w:marLeft w:val="0"/>
          <w:marRight w:val="0"/>
          <w:marTop w:val="0"/>
          <w:marBottom w:val="0"/>
          <w:divBdr>
            <w:top w:val="none" w:sz="0" w:space="0" w:color="auto"/>
            <w:left w:val="none" w:sz="0" w:space="0" w:color="auto"/>
            <w:bottom w:val="none" w:sz="0" w:space="0" w:color="auto"/>
            <w:right w:val="none" w:sz="0" w:space="0" w:color="auto"/>
          </w:divBdr>
        </w:div>
      </w:divsChild>
    </w:div>
    <w:div w:id="872153747">
      <w:bodyDiv w:val="1"/>
      <w:marLeft w:val="0"/>
      <w:marRight w:val="0"/>
      <w:marTop w:val="0"/>
      <w:marBottom w:val="0"/>
      <w:divBdr>
        <w:top w:val="none" w:sz="0" w:space="0" w:color="auto"/>
        <w:left w:val="none" w:sz="0" w:space="0" w:color="auto"/>
        <w:bottom w:val="none" w:sz="0" w:space="0" w:color="auto"/>
        <w:right w:val="none" w:sz="0" w:space="0" w:color="auto"/>
      </w:divBdr>
      <w:divsChild>
        <w:div w:id="1255552142">
          <w:marLeft w:val="0"/>
          <w:marRight w:val="0"/>
          <w:marTop w:val="0"/>
          <w:marBottom w:val="0"/>
          <w:divBdr>
            <w:top w:val="none" w:sz="0" w:space="0" w:color="auto"/>
            <w:left w:val="none" w:sz="0" w:space="0" w:color="auto"/>
            <w:bottom w:val="none" w:sz="0" w:space="0" w:color="auto"/>
            <w:right w:val="none" w:sz="0" w:space="0" w:color="auto"/>
          </w:divBdr>
        </w:div>
      </w:divsChild>
    </w:div>
    <w:div w:id="879827818">
      <w:bodyDiv w:val="1"/>
      <w:marLeft w:val="0"/>
      <w:marRight w:val="0"/>
      <w:marTop w:val="0"/>
      <w:marBottom w:val="0"/>
      <w:divBdr>
        <w:top w:val="none" w:sz="0" w:space="0" w:color="auto"/>
        <w:left w:val="none" w:sz="0" w:space="0" w:color="auto"/>
        <w:bottom w:val="none" w:sz="0" w:space="0" w:color="auto"/>
        <w:right w:val="none" w:sz="0" w:space="0" w:color="auto"/>
      </w:divBdr>
      <w:divsChild>
        <w:div w:id="1026952451">
          <w:marLeft w:val="0"/>
          <w:marRight w:val="0"/>
          <w:marTop w:val="0"/>
          <w:marBottom w:val="0"/>
          <w:divBdr>
            <w:top w:val="none" w:sz="0" w:space="0" w:color="auto"/>
            <w:left w:val="none" w:sz="0" w:space="0" w:color="auto"/>
            <w:bottom w:val="none" w:sz="0" w:space="0" w:color="auto"/>
            <w:right w:val="none" w:sz="0" w:space="0" w:color="auto"/>
          </w:divBdr>
        </w:div>
      </w:divsChild>
    </w:div>
    <w:div w:id="883516330">
      <w:bodyDiv w:val="1"/>
      <w:marLeft w:val="0"/>
      <w:marRight w:val="0"/>
      <w:marTop w:val="0"/>
      <w:marBottom w:val="0"/>
      <w:divBdr>
        <w:top w:val="none" w:sz="0" w:space="0" w:color="auto"/>
        <w:left w:val="none" w:sz="0" w:space="0" w:color="auto"/>
        <w:bottom w:val="none" w:sz="0" w:space="0" w:color="auto"/>
        <w:right w:val="none" w:sz="0" w:space="0" w:color="auto"/>
      </w:divBdr>
    </w:div>
    <w:div w:id="885140395">
      <w:bodyDiv w:val="1"/>
      <w:marLeft w:val="0"/>
      <w:marRight w:val="0"/>
      <w:marTop w:val="0"/>
      <w:marBottom w:val="0"/>
      <w:divBdr>
        <w:top w:val="none" w:sz="0" w:space="0" w:color="auto"/>
        <w:left w:val="none" w:sz="0" w:space="0" w:color="auto"/>
        <w:bottom w:val="none" w:sz="0" w:space="0" w:color="auto"/>
        <w:right w:val="none" w:sz="0" w:space="0" w:color="auto"/>
      </w:divBdr>
      <w:divsChild>
        <w:div w:id="2145392319">
          <w:marLeft w:val="0"/>
          <w:marRight w:val="0"/>
          <w:marTop w:val="0"/>
          <w:marBottom w:val="0"/>
          <w:divBdr>
            <w:top w:val="none" w:sz="0" w:space="0" w:color="auto"/>
            <w:left w:val="none" w:sz="0" w:space="0" w:color="auto"/>
            <w:bottom w:val="none" w:sz="0" w:space="0" w:color="auto"/>
            <w:right w:val="none" w:sz="0" w:space="0" w:color="auto"/>
          </w:divBdr>
        </w:div>
      </w:divsChild>
    </w:div>
    <w:div w:id="887882306">
      <w:bodyDiv w:val="1"/>
      <w:marLeft w:val="0"/>
      <w:marRight w:val="0"/>
      <w:marTop w:val="0"/>
      <w:marBottom w:val="0"/>
      <w:divBdr>
        <w:top w:val="none" w:sz="0" w:space="0" w:color="auto"/>
        <w:left w:val="none" w:sz="0" w:space="0" w:color="auto"/>
        <w:bottom w:val="none" w:sz="0" w:space="0" w:color="auto"/>
        <w:right w:val="none" w:sz="0" w:space="0" w:color="auto"/>
      </w:divBdr>
    </w:div>
    <w:div w:id="888958328">
      <w:bodyDiv w:val="1"/>
      <w:marLeft w:val="0"/>
      <w:marRight w:val="0"/>
      <w:marTop w:val="0"/>
      <w:marBottom w:val="0"/>
      <w:divBdr>
        <w:top w:val="none" w:sz="0" w:space="0" w:color="auto"/>
        <w:left w:val="none" w:sz="0" w:space="0" w:color="auto"/>
        <w:bottom w:val="none" w:sz="0" w:space="0" w:color="auto"/>
        <w:right w:val="none" w:sz="0" w:space="0" w:color="auto"/>
      </w:divBdr>
    </w:div>
    <w:div w:id="893544538">
      <w:bodyDiv w:val="1"/>
      <w:marLeft w:val="0"/>
      <w:marRight w:val="0"/>
      <w:marTop w:val="0"/>
      <w:marBottom w:val="0"/>
      <w:divBdr>
        <w:top w:val="none" w:sz="0" w:space="0" w:color="auto"/>
        <w:left w:val="none" w:sz="0" w:space="0" w:color="auto"/>
        <w:bottom w:val="none" w:sz="0" w:space="0" w:color="auto"/>
        <w:right w:val="none" w:sz="0" w:space="0" w:color="auto"/>
      </w:divBdr>
      <w:divsChild>
        <w:div w:id="597720087">
          <w:marLeft w:val="0"/>
          <w:marRight w:val="0"/>
          <w:marTop w:val="0"/>
          <w:marBottom w:val="0"/>
          <w:divBdr>
            <w:top w:val="none" w:sz="0" w:space="0" w:color="auto"/>
            <w:left w:val="none" w:sz="0" w:space="0" w:color="auto"/>
            <w:bottom w:val="none" w:sz="0" w:space="0" w:color="auto"/>
            <w:right w:val="none" w:sz="0" w:space="0" w:color="auto"/>
          </w:divBdr>
        </w:div>
      </w:divsChild>
    </w:div>
    <w:div w:id="895358403">
      <w:bodyDiv w:val="1"/>
      <w:marLeft w:val="0"/>
      <w:marRight w:val="0"/>
      <w:marTop w:val="0"/>
      <w:marBottom w:val="0"/>
      <w:divBdr>
        <w:top w:val="none" w:sz="0" w:space="0" w:color="auto"/>
        <w:left w:val="none" w:sz="0" w:space="0" w:color="auto"/>
        <w:bottom w:val="none" w:sz="0" w:space="0" w:color="auto"/>
        <w:right w:val="none" w:sz="0" w:space="0" w:color="auto"/>
      </w:divBdr>
      <w:divsChild>
        <w:div w:id="1666591795">
          <w:marLeft w:val="0"/>
          <w:marRight w:val="0"/>
          <w:marTop w:val="0"/>
          <w:marBottom w:val="0"/>
          <w:divBdr>
            <w:top w:val="none" w:sz="0" w:space="0" w:color="auto"/>
            <w:left w:val="none" w:sz="0" w:space="0" w:color="auto"/>
            <w:bottom w:val="none" w:sz="0" w:space="0" w:color="auto"/>
            <w:right w:val="none" w:sz="0" w:space="0" w:color="auto"/>
          </w:divBdr>
        </w:div>
      </w:divsChild>
    </w:div>
    <w:div w:id="903873688">
      <w:bodyDiv w:val="1"/>
      <w:marLeft w:val="0"/>
      <w:marRight w:val="0"/>
      <w:marTop w:val="0"/>
      <w:marBottom w:val="0"/>
      <w:divBdr>
        <w:top w:val="none" w:sz="0" w:space="0" w:color="auto"/>
        <w:left w:val="none" w:sz="0" w:space="0" w:color="auto"/>
        <w:bottom w:val="none" w:sz="0" w:space="0" w:color="auto"/>
        <w:right w:val="none" w:sz="0" w:space="0" w:color="auto"/>
      </w:divBdr>
    </w:div>
    <w:div w:id="912277094">
      <w:bodyDiv w:val="1"/>
      <w:marLeft w:val="0"/>
      <w:marRight w:val="0"/>
      <w:marTop w:val="0"/>
      <w:marBottom w:val="0"/>
      <w:divBdr>
        <w:top w:val="none" w:sz="0" w:space="0" w:color="auto"/>
        <w:left w:val="none" w:sz="0" w:space="0" w:color="auto"/>
        <w:bottom w:val="none" w:sz="0" w:space="0" w:color="auto"/>
        <w:right w:val="none" w:sz="0" w:space="0" w:color="auto"/>
      </w:divBdr>
    </w:div>
    <w:div w:id="917523907">
      <w:bodyDiv w:val="1"/>
      <w:marLeft w:val="0"/>
      <w:marRight w:val="0"/>
      <w:marTop w:val="0"/>
      <w:marBottom w:val="0"/>
      <w:divBdr>
        <w:top w:val="none" w:sz="0" w:space="0" w:color="auto"/>
        <w:left w:val="none" w:sz="0" w:space="0" w:color="auto"/>
        <w:bottom w:val="none" w:sz="0" w:space="0" w:color="auto"/>
        <w:right w:val="none" w:sz="0" w:space="0" w:color="auto"/>
      </w:divBdr>
    </w:div>
    <w:div w:id="922030242">
      <w:bodyDiv w:val="1"/>
      <w:marLeft w:val="0"/>
      <w:marRight w:val="0"/>
      <w:marTop w:val="0"/>
      <w:marBottom w:val="0"/>
      <w:divBdr>
        <w:top w:val="none" w:sz="0" w:space="0" w:color="auto"/>
        <w:left w:val="none" w:sz="0" w:space="0" w:color="auto"/>
        <w:bottom w:val="none" w:sz="0" w:space="0" w:color="auto"/>
        <w:right w:val="none" w:sz="0" w:space="0" w:color="auto"/>
      </w:divBdr>
      <w:divsChild>
        <w:div w:id="1161309315">
          <w:marLeft w:val="0"/>
          <w:marRight w:val="0"/>
          <w:marTop w:val="0"/>
          <w:marBottom w:val="0"/>
          <w:divBdr>
            <w:top w:val="none" w:sz="0" w:space="0" w:color="auto"/>
            <w:left w:val="none" w:sz="0" w:space="0" w:color="auto"/>
            <w:bottom w:val="none" w:sz="0" w:space="0" w:color="auto"/>
            <w:right w:val="none" w:sz="0" w:space="0" w:color="auto"/>
          </w:divBdr>
        </w:div>
      </w:divsChild>
    </w:div>
    <w:div w:id="922640939">
      <w:bodyDiv w:val="1"/>
      <w:marLeft w:val="0"/>
      <w:marRight w:val="0"/>
      <w:marTop w:val="0"/>
      <w:marBottom w:val="0"/>
      <w:divBdr>
        <w:top w:val="none" w:sz="0" w:space="0" w:color="auto"/>
        <w:left w:val="none" w:sz="0" w:space="0" w:color="auto"/>
        <w:bottom w:val="none" w:sz="0" w:space="0" w:color="auto"/>
        <w:right w:val="none" w:sz="0" w:space="0" w:color="auto"/>
      </w:divBdr>
    </w:div>
    <w:div w:id="922840491">
      <w:bodyDiv w:val="1"/>
      <w:marLeft w:val="0"/>
      <w:marRight w:val="0"/>
      <w:marTop w:val="0"/>
      <w:marBottom w:val="0"/>
      <w:divBdr>
        <w:top w:val="none" w:sz="0" w:space="0" w:color="auto"/>
        <w:left w:val="none" w:sz="0" w:space="0" w:color="auto"/>
        <w:bottom w:val="none" w:sz="0" w:space="0" w:color="auto"/>
        <w:right w:val="none" w:sz="0" w:space="0" w:color="auto"/>
      </w:divBdr>
    </w:div>
    <w:div w:id="933365979">
      <w:bodyDiv w:val="1"/>
      <w:marLeft w:val="0"/>
      <w:marRight w:val="0"/>
      <w:marTop w:val="0"/>
      <w:marBottom w:val="0"/>
      <w:divBdr>
        <w:top w:val="none" w:sz="0" w:space="0" w:color="auto"/>
        <w:left w:val="none" w:sz="0" w:space="0" w:color="auto"/>
        <w:bottom w:val="none" w:sz="0" w:space="0" w:color="auto"/>
        <w:right w:val="none" w:sz="0" w:space="0" w:color="auto"/>
      </w:divBdr>
      <w:divsChild>
        <w:div w:id="1484010504">
          <w:marLeft w:val="0"/>
          <w:marRight w:val="0"/>
          <w:marTop w:val="0"/>
          <w:marBottom w:val="0"/>
          <w:divBdr>
            <w:top w:val="none" w:sz="0" w:space="0" w:color="auto"/>
            <w:left w:val="none" w:sz="0" w:space="0" w:color="auto"/>
            <w:bottom w:val="none" w:sz="0" w:space="0" w:color="auto"/>
            <w:right w:val="none" w:sz="0" w:space="0" w:color="auto"/>
          </w:divBdr>
        </w:div>
      </w:divsChild>
    </w:div>
    <w:div w:id="952715030">
      <w:bodyDiv w:val="1"/>
      <w:marLeft w:val="0"/>
      <w:marRight w:val="0"/>
      <w:marTop w:val="0"/>
      <w:marBottom w:val="0"/>
      <w:divBdr>
        <w:top w:val="none" w:sz="0" w:space="0" w:color="auto"/>
        <w:left w:val="none" w:sz="0" w:space="0" w:color="auto"/>
        <w:bottom w:val="none" w:sz="0" w:space="0" w:color="auto"/>
        <w:right w:val="none" w:sz="0" w:space="0" w:color="auto"/>
      </w:divBdr>
    </w:div>
    <w:div w:id="954099217">
      <w:bodyDiv w:val="1"/>
      <w:marLeft w:val="0"/>
      <w:marRight w:val="0"/>
      <w:marTop w:val="0"/>
      <w:marBottom w:val="0"/>
      <w:divBdr>
        <w:top w:val="none" w:sz="0" w:space="0" w:color="auto"/>
        <w:left w:val="none" w:sz="0" w:space="0" w:color="auto"/>
        <w:bottom w:val="none" w:sz="0" w:space="0" w:color="auto"/>
        <w:right w:val="none" w:sz="0" w:space="0" w:color="auto"/>
      </w:divBdr>
      <w:divsChild>
        <w:div w:id="466245913">
          <w:marLeft w:val="0"/>
          <w:marRight w:val="0"/>
          <w:marTop w:val="0"/>
          <w:marBottom w:val="0"/>
          <w:divBdr>
            <w:top w:val="none" w:sz="0" w:space="0" w:color="auto"/>
            <w:left w:val="none" w:sz="0" w:space="0" w:color="auto"/>
            <w:bottom w:val="none" w:sz="0" w:space="0" w:color="auto"/>
            <w:right w:val="none" w:sz="0" w:space="0" w:color="auto"/>
          </w:divBdr>
        </w:div>
      </w:divsChild>
    </w:div>
    <w:div w:id="955405750">
      <w:bodyDiv w:val="1"/>
      <w:marLeft w:val="0"/>
      <w:marRight w:val="0"/>
      <w:marTop w:val="0"/>
      <w:marBottom w:val="0"/>
      <w:divBdr>
        <w:top w:val="none" w:sz="0" w:space="0" w:color="auto"/>
        <w:left w:val="none" w:sz="0" w:space="0" w:color="auto"/>
        <w:bottom w:val="none" w:sz="0" w:space="0" w:color="auto"/>
        <w:right w:val="none" w:sz="0" w:space="0" w:color="auto"/>
      </w:divBdr>
      <w:divsChild>
        <w:div w:id="921912870">
          <w:blockQuote w:val="1"/>
          <w:marLeft w:val="0"/>
          <w:marRight w:val="0"/>
          <w:marTop w:val="345"/>
          <w:marBottom w:val="210"/>
          <w:divBdr>
            <w:top w:val="none" w:sz="0" w:space="0" w:color="auto"/>
            <w:left w:val="none" w:sz="0" w:space="0" w:color="auto"/>
            <w:bottom w:val="none" w:sz="0" w:space="0" w:color="auto"/>
            <w:right w:val="none" w:sz="0" w:space="0" w:color="auto"/>
          </w:divBdr>
        </w:div>
      </w:divsChild>
    </w:div>
    <w:div w:id="972096368">
      <w:bodyDiv w:val="1"/>
      <w:marLeft w:val="0"/>
      <w:marRight w:val="0"/>
      <w:marTop w:val="0"/>
      <w:marBottom w:val="0"/>
      <w:divBdr>
        <w:top w:val="none" w:sz="0" w:space="0" w:color="auto"/>
        <w:left w:val="none" w:sz="0" w:space="0" w:color="auto"/>
        <w:bottom w:val="none" w:sz="0" w:space="0" w:color="auto"/>
        <w:right w:val="none" w:sz="0" w:space="0" w:color="auto"/>
      </w:divBdr>
      <w:divsChild>
        <w:div w:id="427507081">
          <w:marLeft w:val="0"/>
          <w:marRight w:val="0"/>
          <w:marTop w:val="0"/>
          <w:marBottom w:val="0"/>
          <w:divBdr>
            <w:top w:val="none" w:sz="0" w:space="0" w:color="auto"/>
            <w:left w:val="none" w:sz="0" w:space="0" w:color="auto"/>
            <w:bottom w:val="none" w:sz="0" w:space="0" w:color="auto"/>
            <w:right w:val="none" w:sz="0" w:space="0" w:color="auto"/>
          </w:divBdr>
        </w:div>
      </w:divsChild>
    </w:div>
    <w:div w:id="985472687">
      <w:bodyDiv w:val="1"/>
      <w:marLeft w:val="0"/>
      <w:marRight w:val="0"/>
      <w:marTop w:val="0"/>
      <w:marBottom w:val="0"/>
      <w:divBdr>
        <w:top w:val="none" w:sz="0" w:space="0" w:color="auto"/>
        <w:left w:val="none" w:sz="0" w:space="0" w:color="auto"/>
        <w:bottom w:val="none" w:sz="0" w:space="0" w:color="auto"/>
        <w:right w:val="none" w:sz="0" w:space="0" w:color="auto"/>
      </w:divBdr>
    </w:div>
    <w:div w:id="986008469">
      <w:bodyDiv w:val="1"/>
      <w:marLeft w:val="0"/>
      <w:marRight w:val="0"/>
      <w:marTop w:val="0"/>
      <w:marBottom w:val="0"/>
      <w:divBdr>
        <w:top w:val="none" w:sz="0" w:space="0" w:color="auto"/>
        <w:left w:val="none" w:sz="0" w:space="0" w:color="auto"/>
        <w:bottom w:val="none" w:sz="0" w:space="0" w:color="auto"/>
        <w:right w:val="none" w:sz="0" w:space="0" w:color="auto"/>
      </w:divBdr>
      <w:divsChild>
        <w:div w:id="1559317657">
          <w:marLeft w:val="0"/>
          <w:marRight w:val="0"/>
          <w:marTop w:val="0"/>
          <w:marBottom w:val="0"/>
          <w:divBdr>
            <w:top w:val="none" w:sz="0" w:space="0" w:color="auto"/>
            <w:left w:val="none" w:sz="0" w:space="0" w:color="auto"/>
            <w:bottom w:val="none" w:sz="0" w:space="0" w:color="auto"/>
            <w:right w:val="none" w:sz="0" w:space="0" w:color="auto"/>
          </w:divBdr>
        </w:div>
      </w:divsChild>
    </w:div>
    <w:div w:id="1000890194">
      <w:bodyDiv w:val="1"/>
      <w:marLeft w:val="0"/>
      <w:marRight w:val="0"/>
      <w:marTop w:val="0"/>
      <w:marBottom w:val="0"/>
      <w:divBdr>
        <w:top w:val="none" w:sz="0" w:space="0" w:color="auto"/>
        <w:left w:val="none" w:sz="0" w:space="0" w:color="auto"/>
        <w:bottom w:val="none" w:sz="0" w:space="0" w:color="auto"/>
        <w:right w:val="none" w:sz="0" w:space="0" w:color="auto"/>
      </w:divBdr>
    </w:div>
    <w:div w:id="1010253095">
      <w:bodyDiv w:val="1"/>
      <w:marLeft w:val="0"/>
      <w:marRight w:val="0"/>
      <w:marTop w:val="0"/>
      <w:marBottom w:val="0"/>
      <w:divBdr>
        <w:top w:val="none" w:sz="0" w:space="0" w:color="auto"/>
        <w:left w:val="none" w:sz="0" w:space="0" w:color="auto"/>
        <w:bottom w:val="none" w:sz="0" w:space="0" w:color="auto"/>
        <w:right w:val="none" w:sz="0" w:space="0" w:color="auto"/>
      </w:divBdr>
    </w:div>
    <w:div w:id="1014191986">
      <w:bodyDiv w:val="1"/>
      <w:marLeft w:val="0"/>
      <w:marRight w:val="0"/>
      <w:marTop w:val="0"/>
      <w:marBottom w:val="0"/>
      <w:divBdr>
        <w:top w:val="none" w:sz="0" w:space="0" w:color="auto"/>
        <w:left w:val="none" w:sz="0" w:space="0" w:color="auto"/>
        <w:bottom w:val="none" w:sz="0" w:space="0" w:color="auto"/>
        <w:right w:val="none" w:sz="0" w:space="0" w:color="auto"/>
      </w:divBdr>
    </w:div>
    <w:div w:id="1020744295">
      <w:bodyDiv w:val="1"/>
      <w:marLeft w:val="0"/>
      <w:marRight w:val="0"/>
      <w:marTop w:val="0"/>
      <w:marBottom w:val="0"/>
      <w:divBdr>
        <w:top w:val="none" w:sz="0" w:space="0" w:color="auto"/>
        <w:left w:val="none" w:sz="0" w:space="0" w:color="auto"/>
        <w:bottom w:val="none" w:sz="0" w:space="0" w:color="auto"/>
        <w:right w:val="none" w:sz="0" w:space="0" w:color="auto"/>
      </w:divBdr>
    </w:div>
    <w:div w:id="1034618686">
      <w:bodyDiv w:val="1"/>
      <w:marLeft w:val="0"/>
      <w:marRight w:val="0"/>
      <w:marTop w:val="0"/>
      <w:marBottom w:val="0"/>
      <w:divBdr>
        <w:top w:val="none" w:sz="0" w:space="0" w:color="auto"/>
        <w:left w:val="none" w:sz="0" w:space="0" w:color="auto"/>
        <w:bottom w:val="none" w:sz="0" w:space="0" w:color="auto"/>
        <w:right w:val="none" w:sz="0" w:space="0" w:color="auto"/>
      </w:divBdr>
    </w:div>
    <w:div w:id="1037007454">
      <w:bodyDiv w:val="1"/>
      <w:marLeft w:val="0"/>
      <w:marRight w:val="0"/>
      <w:marTop w:val="0"/>
      <w:marBottom w:val="0"/>
      <w:divBdr>
        <w:top w:val="none" w:sz="0" w:space="0" w:color="auto"/>
        <w:left w:val="none" w:sz="0" w:space="0" w:color="auto"/>
        <w:bottom w:val="none" w:sz="0" w:space="0" w:color="auto"/>
        <w:right w:val="none" w:sz="0" w:space="0" w:color="auto"/>
      </w:divBdr>
    </w:div>
    <w:div w:id="1062219315">
      <w:bodyDiv w:val="1"/>
      <w:marLeft w:val="0"/>
      <w:marRight w:val="0"/>
      <w:marTop w:val="0"/>
      <w:marBottom w:val="0"/>
      <w:divBdr>
        <w:top w:val="none" w:sz="0" w:space="0" w:color="auto"/>
        <w:left w:val="none" w:sz="0" w:space="0" w:color="auto"/>
        <w:bottom w:val="none" w:sz="0" w:space="0" w:color="auto"/>
        <w:right w:val="none" w:sz="0" w:space="0" w:color="auto"/>
      </w:divBdr>
      <w:divsChild>
        <w:div w:id="1623609465">
          <w:marLeft w:val="0"/>
          <w:marRight w:val="0"/>
          <w:marTop w:val="0"/>
          <w:marBottom w:val="0"/>
          <w:divBdr>
            <w:top w:val="none" w:sz="0" w:space="0" w:color="auto"/>
            <w:left w:val="none" w:sz="0" w:space="0" w:color="auto"/>
            <w:bottom w:val="none" w:sz="0" w:space="0" w:color="auto"/>
            <w:right w:val="none" w:sz="0" w:space="0" w:color="auto"/>
          </w:divBdr>
        </w:div>
      </w:divsChild>
    </w:div>
    <w:div w:id="1091047093">
      <w:bodyDiv w:val="1"/>
      <w:marLeft w:val="0"/>
      <w:marRight w:val="0"/>
      <w:marTop w:val="0"/>
      <w:marBottom w:val="0"/>
      <w:divBdr>
        <w:top w:val="none" w:sz="0" w:space="0" w:color="auto"/>
        <w:left w:val="none" w:sz="0" w:space="0" w:color="auto"/>
        <w:bottom w:val="none" w:sz="0" w:space="0" w:color="auto"/>
        <w:right w:val="none" w:sz="0" w:space="0" w:color="auto"/>
      </w:divBdr>
    </w:div>
    <w:div w:id="1094010938">
      <w:bodyDiv w:val="1"/>
      <w:marLeft w:val="0"/>
      <w:marRight w:val="0"/>
      <w:marTop w:val="0"/>
      <w:marBottom w:val="0"/>
      <w:divBdr>
        <w:top w:val="none" w:sz="0" w:space="0" w:color="auto"/>
        <w:left w:val="none" w:sz="0" w:space="0" w:color="auto"/>
        <w:bottom w:val="none" w:sz="0" w:space="0" w:color="auto"/>
        <w:right w:val="none" w:sz="0" w:space="0" w:color="auto"/>
      </w:divBdr>
      <w:divsChild>
        <w:div w:id="1067924753">
          <w:marLeft w:val="0"/>
          <w:marRight w:val="0"/>
          <w:marTop w:val="0"/>
          <w:marBottom w:val="0"/>
          <w:divBdr>
            <w:top w:val="none" w:sz="0" w:space="0" w:color="auto"/>
            <w:left w:val="none" w:sz="0" w:space="0" w:color="auto"/>
            <w:bottom w:val="none" w:sz="0" w:space="0" w:color="auto"/>
            <w:right w:val="none" w:sz="0" w:space="0" w:color="auto"/>
          </w:divBdr>
        </w:div>
      </w:divsChild>
    </w:div>
    <w:div w:id="1097794424">
      <w:bodyDiv w:val="1"/>
      <w:marLeft w:val="0"/>
      <w:marRight w:val="0"/>
      <w:marTop w:val="0"/>
      <w:marBottom w:val="0"/>
      <w:divBdr>
        <w:top w:val="none" w:sz="0" w:space="0" w:color="auto"/>
        <w:left w:val="none" w:sz="0" w:space="0" w:color="auto"/>
        <w:bottom w:val="none" w:sz="0" w:space="0" w:color="auto"/>
        <w:right w:val="none" w:sz="0" w:space="0" w:color="auto"/>
      </w:divBdr>
    </w:div>
    <w:div w:id="1106191948">
      <w:bodyDiv w:val="1"/>
      <w:marLeft w:val="0"/>
      <w:marRight w:val="0"/>
      <w:marTop w:val="0"/>
      <w:marBottom w:val="0"/>
      <w:divBdr>
        <w:top w:val="none" w:sz="0" w:space="0" w:color="auto"/>
        <w:left w:val="none" w:sz="0" w:space="0" w:color="auto"/>
        <w:bottom w:val="none" w:sz="0" w:space="0" w:color="auto"/>
        <w:right w:val="none" w:sz="0" w:space="0" w:color="auto"/>
      </w:divBdr>
    </w:div>
    <w:div w:id="1130825100">
      <w:bodyDiv w:val="1"/>
      <w:marLeft w:val="0"/>
      <w:marRight w:val="0"/>
      <w:marTop w:val="0"/>
      <w:marBottom w:val="0"/>
      <w:divBdr>
        <w:top w:val="none" w:sz="0" w:space="0" w:color="auto"/>
        <w:left w:val="none" w:sz="0" w:space="0" w:color="auto"/>
        <w:bottom w:val="none" w:sz="0" w:space="0" w:color="auto"/>
        <w:right w:val="none" w:sz="0" w:space="0" w:color="auto"/>
      </w:divBdr>
    </w:div>
    <w:div w:id="1147166700">
      <w:bodyDiv w:val="1"/>
      <w:marLeft w:val="0"/>
      <w:marRight w:val="0"/>
      <w:marTop w:val="0"/>
      <w:marBottom w:val="0"/>
      <w:divBdr>
        <w:top w:val="none" w:sz="0" w:space="0" w:color="auto"/>
        <w:left w:val="none" w:sz="0" w:space="0" w:color="auto"/>
        <w:bottom w:val="none" w:sz="0" w:space="0" w:color="auto"/>
        <w:right w:val="none" w:sz="0" w:space="0" w:color="auto"/>
      </w:divBdr>
    </w:div>
    <w:div w:id="1155609271">
      <w:bodyDiv w:val="1"/>
      <w:marLeft w:val="0"/>
      <w:marRight w:val="0"/>
      <w:marTop w:val="0"/>
      <w:marBottom w:val="0"/>
      <w:divBdr>
        <w:top w:val="none" w:sz="0" w:space="0" w:color="auto"/>
        <w:left w:val="none" w:sz="0" w:space="0" w:color="auto"/>
        <w:bottom w:val="none" w:sz="0" w:space="0" w:color="auto"/>
        <w:right w:val="none" w:sz="0" w:space="0" w:color="auto"/>
      </w:divBdr>
    </w:div>
    <w:div w:id="1160275009">
      <w:bodyDiv w:val="1"/>
      <w:marLeft w:val="0"/>
      <w:marRight w:val="0"/>
      <w:marTop w:val="0"/>
      <w:marBottom w:val="0"/>
      <w:divBdr>
        <w:top w:val="none" w:sz="0" w:space="0" w:color="auto"/>
        <w:left w:val="none" w:sz="0" w:space="0" w:color="auto"/>
        <w:bottom w:val="none" w:sz="0" w:space="0" w:color="auto"/>
        <w:right w:val="none" w:sz="0" w:space="0" w:color="auto"/>
      </w:divBdr>
      <w:divsChild>
        <w:div w:id="1387531573">
          <w:marLeft w:val="0"/>
          <w:marRight w:val="0"/>
          <w:marTop w:val="0"/>
          <w:marBottom w:val="0"/>
          <w:divBdr>
            <w:top w:val="none" w:sz="0" w:space="0" w:color="auto"/>
            <w:left w:val="none" w:sz="0" w:space="0" w:color="auto"/>
            <w:bottom w:val="none" w:sz="0" w:space="0" w:color="auto"/>
            <w:right w:val="none" w:sz="0" w:space="0" w:color="auto"/>
          </w:divBdr>
        </w:div>
      </w:divsChild>
    </w:div>
    <w:div w:id="1161195136">
      <w:bodyDiv w:val="1"/>
      <w:marLeft w:val="0"/>
      <w:marRight w:val="0"/>
      <w:marTop w:val="0"/>
      <w:marBottom w:val="0"/>
      <w:divBdr>
        <w:top w:val="none" w:sz="0" w:space="0" w:color="auto"/>
        <w:left w:val="none" w:sz="0" w:space="0" w:color="auto"/>
        <w:bottom w:val="none" w:sz="0" w:space="0" w:color="auto"/>
        <w:right w:val="none" w:sz="0" w:space="0" w:color="auto"/>
      </w:divBdr>
    </w:div>
    <w:div w:id="1163425359">
      <w:bodyDiv w:val="1"/>
      <w:marLeft w:val="0"/>
      <w:marRight w:val="0"/>
      <w:marTop w:val="0"/>
      <w:marBottom w:val="0"/>
      <w:divBdr>
        <w:top w:val="none" w:sz="0" w:space="0" w:color="auto"/>
        <w:left w:val="none" w:sz="0" w:space="0" w:color="auto"/>
        <w:bottom w:val="none" w:sz="0" w:space="0" w:color="auto"/>
        <w:right w:val="none" w:sz="0" w:space="0" w:color="auto"/>
      </w:divBdr>
    </w:div>
    <w:div w:id="1179811497">
      <w:bodyDiv w:val="1"/>
      <w:marLeft w:val="0"/>
      <w:marRight w:val="0"/>
      <w:marTop w:val="0"/>
      <w:marBottom w:val="0"/>
      <w:divBdr>
        <w:top w:val="none" w:sz="0" w:space="0" w:color="auto"/>
        <w:left w:val="none" w:sz="0" w:space="0" w:color="auto"/>
        <w:bottom w:val="none" w:sz="0" w:space="0" w:color="auto"/>
        <w:right w:val="none" w:sz="0" w:space="0" w:color="auto"/>
      </w:divBdr>
      <w:divsChild>
        <w:div w:id="2110274329">
          <w:marLeft w:val="0"/>
          <w:marRight w:val="0"/>
          <w:marTop w:val="0"/>
          <w:marBottom w:val="0"/>
          <w:divBdr>
            <w:top w:val="none" w:sz="0" w:space="0" w:color="auto"/>
            <w:left w:val="none" w:sz="0" w:space="0" w:color="auto"/>
            <w:bottom w:val="none" w:sz="0" w:space="0" w:color="auto"/>
            <w:right w:val="none" w:sz="0" w:space="0" w:color="auto"/>
          </w:divBdr>
        </w:div>
      </w:divsChild>
    </w:div>
    <w:div w:id="1184056641">
      <w:bodyDiv w:val="1"/>
      <w:marLeft w:val="0"/>
      <w:marRight w:val="0"/>
      <w:marTop w:val="0"/>
      <w:marBottom w:val="0"/>
      <w:divBdr>
        <w:top w:val="none" w:sz="0" w:space="0" w:color="auto"/>
        <w:left w:val="none" w:sz="0" w:space="0" w:color="auto"/>
        <w:bottom w:val="none" w:sz="0" w:space="0" w:color="auto"/>
        <w:right w:val="none" w:sz="0" w:space="0" w:color="auto"/>
      </w:divBdr>
      <w:divsChild>
        <w:div w:id="1723552836">
          <w:marLeft w:val="0"/>
          <w:marRight w:val="0"/>
          <w:marTop w:val="0"/>
          <w:marBottom w:val="0"/>
          <w:divBdr>
            <w:top w:val="none" w:sz="0" w:space="0" w:color="auto"/>
            <w:left w:val="none" w:sz="0" w:space="0" w:color="auto"/>
            <w:bottom w:val="none" w:sz="0" w:space="0" w:color="auto"/>
            <w:right w:val="none" w:sz="0" w:space="0" w:color="auto"/>
          </w:divBdr>
        </w:div>
      </w:divsChild>
    </w:div>
    <w:div w:id="1208836557">
      <w:bodyDiv w:val="1"/>
      <w:marLeft w:val="0"/>
      <w:marRight w:val="0"/>
      <w:marTop w:val="0"/>
      <w:marBottom w:val="0"/>
      <w:divBdr>
        <w:top w:val="none" w:sz="0" w:space="0" w:color="auto"/>
        <w:left w:val="none" w:sz="0" w:space="0" w:color="auto"/>
        <w:bottom w:val="none" w:sz="0" w:space="0" w:color="auto"/>
        <w:right w:val="none" w:sz="0" w:space="0" w:color="auto"/>
      </w:divBdr>
    </w:div>
    <w:div w:id="1215317919">
      <w:bodyDiv w:val="1"/>
      <w:marLeft w:val="0"/>
      <w:marRight w:val="0"/>
      <w:marTop w:val="0"/>
      <w:marBottom w:val="0"/>
      <w:divBdr>
        <w:top w:val="none" w:sz="0" w:space="0" w:color="auto"/>
        <w:left w:val="none" w:sz="0" w:space="0" w:color="auto"/>
        <w:bottom w:val="none" w:sz="0" w:space="0" w:color="auto"/>
        <w:right w:val="none" w:sz="0" w:space="0" w:color="auto"/>
      </w:divBdr>
    </w:div>
    <w:div w:id="1216310581">
      <w:bodyDiv w:val="1"/>
      <w:marLeft w:val="0"/>
      <w:marRight w:val="0"/>
      <w:marTop w:val="0"/>
      <w:marBottom w:val="0"/>
      <w:divBdr>
        <w:top w:val="none" w:sz="0" w:space="0" w:color="auto"/>
        <w:left w:val="none" w:sz="0" w:space="0" w:color="auto"/>
        <w:bottom w:val="none" w:sz="0" w:space="0" w:color="auto"/>
        <w:right w:val="none" w:sz="0" w:space="0" w:color="auto"/>
      </w:divBdr>
      <w:divsChild>
        <w:div w:id="1173295834">
          <w:marLeft w:val="0"/>
          <w:marRight w:val="0"/>
          <w:marTop w:val="0"/>
          <w:marBottom w:val="0"/>
          <w:divBdr>
            <w:top w:val="none" w:sz="0" w:space="0" w:color="auto"/>
            <w:left w:val="none" w:sz="0" w:space="0" w:color="auto"/>
            <w:bottom w:val="none" w:sz="0" w:space="0" w:color="auto"/>
            <w:right w:val="none" w:sz="0" w:space="0" w:color="auto"/>
          </w:divBdr>
        </w:div>
      </w:divsChild>
    </w:div>
    <w:div w:id="1219777763">
      <w:bodyDiv w:val="1"/>
      <w:marLeft w:val="0"/>
      <w:marRight w:val="0"/>
      <w:marTop w:val="0"/>
      <w:marBottom w:val="0"/>
      <w:divBdr>
        <w:top w:val="none" w:sz="0" w:space="0" w:color="auto"/>
        <w:left w:val="none" w:sz="0" w:space="0" w:color="auto"/>
        <w:bottom w:val="none" w:sz="0" w:space="0" w:color="auto"/>
        <w:right w:val="none" w:sz="0" w:space="0" w:color="auto"/>
      </w:divBdr>
      <w:divsChild>
        <w:div w:id="1975283902">
          <w:marLeft w:val="0"/>
          <w:marRight w:val="0"/>
          <w:marTop w:val="0"/>
          <w:marBottom w:val="0"/>
          <w:divBdr>
            <w:top w:val="none" w:sz="0" w:space="0" w:color="auto"/>
            <w:left w:val="none" w:sz="0" w:space="0" w:color="auto"/>
            <w:bottom w:val="none" w:sz="0" w:space="0" w:color="auto"/>
            <w:right w:val="none" w:sz="0" w:space="0" w:color="auto"/>
          </w:divBdr>
        </w:div>
      </w:divsChild>
    </w:div>
    <w:div w:id="1223325736">
      <w:bodyDiv w:val="1"/>
      <w:marLeft w:val="0"/>
      <w:marRight w:val="0"/>
      <w:marTop w:val="0"/>
      <w:marBottom w:val="0"/>
      <w:divBdr>
        <w:top w:val="none" w:sz="0" w:space="0" w:color="auto"/>
        <w:left w:val="none" w:sz="0" w:space="0" w:color="auto"/>
        <w:bottom w:val="none" w:sz="0" w:space="0" w:color="auto"/>
        <w:right w:val="none" w:sz="0" w:space="0" w:color="auto"/>
      </w:divBdr>
    </w:div>
    <w:div w:id="1224944963">
      <w:bodyDiv w:val="1"/>
      <w:marLeft w:val="0"/>
      <w:marRight w:val="0"/>
      <w:marTop w:val="0"/>
      <w:marBottom w:val="0"/>
      <w:divBdr>
        <w:top w:val="none" w:sz="0" w:space="0" w:color="auto"/>
        <w:left w:val="none" w:sz="0" w:space="0" w:color="auto"/>
        <w:bottom w:val="none" w:sz="0" w:space="0" w:color="auto"/>
        <w:right w:val="none" w:sz="0" w:space="0" w:color="auto"/>
      </w:divBdr>
    </w:div>
    <w:div w:id="1229195668">
      <w:bodyDiv w:val="1"/>
      <w:marLeft w:val="0"/>
      <w:marRight w:val="0"/>
      <w:marTop w:val="0"/>
      <w:marBottom w:val="0"/>
      <w:divBdr>
        <w:top w:val="none" w:sz="0" w:space="0" w:color="auto"/>
        <w:left w:val="none" w:sz="0" w:space="0" w:color="auto"/>
        <w:bottom w:val="none" w:sz="0" w:space="0" w:color="auto"/>
        <w:right w:val="none" w:sz="0" w:space="0" w:color="auto"/>
      </w:divBdr>
    </w:div>
    <w:div w:id="1248416607">
      <w:bodyDiv w:val="1"/>
      <w:marLeft w:val="0"/>
      <w:marRight w:val="0"/>
      <w:marTop w:val="0"/>
      <w:marBottom w:val="0"/>
      <w:divBdr>
        <w:top w:val="none" w:sz="0" w:space="0" w:color="auto"/>
        <w:left w:val="none" w:sz="0" w:space="0" w:color="auto"/>
        <w:bottom w:val="none" w:sz="0" w:space="0" w:color="auto"/>
        <w:right w:val="none" w:sz="0" w:space="0" w:color="auto"/>
      </w:divBdr>
      <w:divsChild>
        <w:div w:id="1277978700">
          <w:marLeft w:val="0"/>
          <w:marRight w:val="0"/>
          <w:marTop w:val="0"/>
          <w:marBottom w:val="0"/>
          <w:divBdr>
            <w:top w:val="none" w:sz="0" w:space="0" w:color="auto"/>
            <w:left w:val="none" w:sz="0" w:space="0" w:color="auto"/>
            <w:bottom w:val="none" w:sz="0" w:space="0" w:color="auto"/>
            <w:right w:val="none" w:sz="0" w:space="0" w:color="auto"/>
          </w:divBdr>
        </w:div>
      </w:divsChild>
    </w:div>
    <w:div w:id="1249390864">
      <w:bodyDiv w:val="1"/>
      <w:marLeft w:val="0"/>
      <w:marRight w:val="0"/>
      <w:marTop w:val="0"/>
      <w:marBottom w:val="0"/>
      <w:divBdr>
        <w:top w:val="none" w:sz="0" w:space="0" w:color="auto"/>
        <w:left w:val="none" w:sz="0" w:space="0" w:color="auto"/>
        <w:bottom w:val="none" w:sz="0" w:space="0" w:color="auto"/>
        <w:right w:val="none" w:sz="0" w:space="0" w:color="auto"/>
      </w:divBdr>
    </w:div>
    <w:div w:id="1252281564">
      <w:bodyDiv w:val="1"/>
      <w:marLeft w:val="0"/>
      <w:marRight w:val="0"/>
      <w:marTop w:val="0"/>
      <w:marBottom w:val="0"/>
      <w:divBdr>
        <w:top w:val="none" w:sz="0" w:space="0" w:color="auto"/>
        <w:left w:val="none" w:sz="0" w:space="0" w:color="auto"/>
        <w:bottom w:val="none" w:sz="0" w:space="0" w:color="auto"/>
        <w:right w:val="none" w:sz="0" w:space="0" w:color="auto"/>
      </w:divBdr>
    </w:div>
    <w:div w:id="1254244839">
      <w:bodyDiv w:val="1"/>
      <w:marLeft w:val="0"/>
      <w:marRight w:val="0"/>
      <w:marTop w:val="0"/>
      <w:marBottom w:val="0"/>
      <w:divBdr>
        <w:top w:val="none" w:sz="0" w:space="0" w:color="auto"/>
        <w:left w:val="none" w:sz="0" w:space="0" w:color="auto"/>
        <w:bottom w:val="none" w:sz="0" w:space="0" w:color="auto"/>
        <w:right w:val="none" w:sz="0" w:space="0" w:color="auto"/>
      </w:divBdr>
    </w:div>
    <w:div w:id="1268006017">
      <w:bodyDiv w:val="1"/>
      <w:marLeft w:val="0"/>
      <w:marRight w:val="0"/>
      <w:marTop w:val="0"/>
      <w:marBottom w:val="0"/>
      <w:divBdr>
        <w:top w:val="none" w:sz="0" w:space="0" w:color="auto"/>
        <w:left w:val="none" w:sz="0" w:space="0" w:color="auto"/>
        <w:bottom w:val="none" w:sz="0" w:space="0" w:color="auto"/>
        <w:right w:val="none" w:sz="0" w:space="0" w:color="auto"/>
      </w:divBdr>
      <w:divsChild>
        <w:div w:id="540440736">
          <w:marLeft w:val="0"/>
          <w:marRight w:val="0"/>
          <w:marTop w:val="0"/>
          <w:marBottom w:val="0"/>
          <w:divBdr>
            <w:top w:val="none" w:sz="0" w:space="0" w:color="auto"/>
            <w:left w:val="none" w:sz="0" w:space="0" w:color="auto"/>
            <w:bottom w:val="none" w:sz="0" w:space="0" w:color="auto"/>
            <w:right w:val="none" w:sz="0" w:space="0" w:color="auto"/>
          </w:divBdr>
        </w:div>
      </w:divsChild>
    </w:div>
    <w:div w:id="1279947951">
      <w:bodyDiv w:val="1"/>
      <w:marLeft w:val="0"/>
      <w:marRight w:val="0"/>
      <w:marTop w:val="0"/>
      <w:marBottom w:val="0"/>
      <w:divBdr>
        <w:top w:val="none" w:sz="0" w:space="0" w:color="auto"/>
        <w:left w:val="none" w:sz="0" w:space="0" w:color="auto"/>
        <w:bottom w:val="none" w:sz="0" w:space="0" w:color="auto"/>
        <w:right w:val="none" w:sz="0" w:space="0" w:color="auto"/>
      </w:divBdr>
    </w:div>
    <w:div w:id="1280648302">
      <w:bodyDiv w:val="1"/>
      <w:marLeft w:val="0"/>
      <w:marRight w:val="0"/>
      <w:marTop w:val="0"/>
      <w:marBottom w:val="0"/>
      <w:divBdr>
        <w:top w:val="none" w:sz="0" w:space="0" w:color="auto"/>
        <w:left w:val="none" w:sz="0" w:space="0" w:color="auto"/>
        <w:bottom w:val="none" w:sz="0" w:space="0" w:color="auto"/>
        <w:right w:val="none" w:sz="0" w:space="0" w:color="auto"/>
      </w:divBdr>
    </w:div>
    <w:div w:id="1304889799">
      <w:bodyDiv w:val="1"/>
      <w:marLeft w:val="0"/>
      <w:marRight w:val="0"/>
      <w:marTop w:val="0"/>
      <w:marBottom w:val="0"/>
      <w:divBdr>
        <w:top w:val="none" w:sz="0" w:space="0" w:color="auto"/>
        <w:left w:val="none" w:sz="0" w:space="0" w:color="auto"/>
        <w:bottom w:val="none" w:sz="0" w:space="0" w:color="auto"/>
        <w:right w:val="none" w:sz="0" w:space="0" w:color="auto"/>
      </w:divBdr>
    </w:div>
    <w:div w:id="1309482781">
      <w:bodyDiv w:val="1"/>
      <w:marLeft w:val="0"/>
      <w:marRight w:val="0"/>
      <w:marTop w:val="0"/>
      <w:marBottom w:val="0"/>
      <w:divBdr>
        <w:top w:val="none" w:sz="0" w:space="0" w:color="auto"/>
        <w:left w:val="none" w:sz="0" w:space="0" w:color="auto"/>
        <w:bottom w:val="none" w:sz="0" w:space="0" w:color="auto"/>
        <w:right w:val="none" w:sz="0" w:space="0" w:color="auto"/>
      </w:divBdr>
      <w:divsChild>
        <w:div w:id="659817861">
          <w:marLeft w:val="0"/>
          <w:marRight w:val="0"/>
          <w:marTop w:val="0"/>
          <w:marBottom w:val="0"/>
          <w:divBdr>
            <w:top w:val="none" w:sz="0" w:space="0" w:color="auto"/>
            <w:left w:val="none" w:sz="0" w:space="0" w:color="auto"/>
            <w:bottom w:val="none" w:sz="0" w:space="0" w:color="auto"/>
            <w:right w:val="none" w:sz="0" w:space="0" w:color="auto"/>
          </w:divBdr>
        </w:div>
      </w:divsChild>
    </w:div>
    <w:div w:id="1325889827">
      <w:bodyDiv w:val="1"/>
      <w:marLeft w:val="0"/>
      <w:marRight w:val="0"/>
      <w:marTop w:val="0"/>
      <w:marBottom w:val="0"/>
      <w:divBdr>
        <w:top w:val="none" w:sz="0" w:space="0" w:color="auto"/>
        <w:left w:val="none" w:sz="0" w:space="0" w:color="auto"/>
        <w:bottom w:val="none" w:sz="0" w:space="0" w:color="auto"/>
        <w:right w:val="none" w:sz="0" w:space="0" w:color="auto"/>
      </w:divBdr>
    </w:div>
    <w:div w:id="1339652161">
      <w:bodyDiv w:val="1"/>
      <w:marLeft w:val="0"/>
      <w:marRight w:val="0"/>
      <w:marTop w:val="0"/>
      <w:marBottom w:val="0"/>
      <w:divBdr>
        <w:top w:val="none" w:sz="0" w:space="0" w:color="auto"/>
        <w:left w:val="none" w:sz="0" w:space="0" w:color="auto"/>
        <w:bottom w:val="none" w:sz="0" w:space="0" w:color="auto"/>
        <w:right w:val="none" w:sz="0" w:space="0" w:color="auto"/>
      </w:divBdr>
      <w:divsChild>
        <w:div w:id="130369293">
          <w:marLeft w:val="0"/>
          <w:marRight w:val="0"/>
          <w:marTop w:val="0"/>
          <w:marBottom w:val="0"/>
          <w:divBdr>
            <w:top w:val="none" w:sz="0" w:space="0" w:color="auto"/>
            <w:left w:val="none" w:sz="0" w:space="0" w:color="auto"/>
            <w:bottom w:val="none" w:sz="0" w:space="0" w:color="auto"/>
            <w:right w:val="none" w:sz="0" w:space="0" w:color="auto"/>
          </w:divBdr>
        </w:div>
      </w:divsChild>
    </w:div>
    <w:div w:id="1341200925">
      <w:bodyDiv w:val="1"/>
      <w:marLeft w:val="0"/>
      <w:marRight w:val="0"/>
      <w:marTop w:val="0"/>
      <w:marBottom w:val="0"/>
      <w:divBdr>
        <w:top w:val="none" w:sz="0" w:space="0" w:color="auto"/>
        <w:left w:val="none" w:sz="0" w:space="0" w:color="auto"/>
        <w:bottom w:val="none" w:sz="0" w:space="0" w:color="auto"/>
        <w:right w:val="none" w:sz="0" w:space="0" w:color="auto"/>
      </w:divBdr>
    </w:div>
    <w:div w:id="1342705155">
      <w:bodyDiv w:val="1"/>
      <w:marLeft w:val="0"/>
      <w:marRight w:val="0"/>
      <w:marTop w:val="0"/>
      <w:marBottom w:val="0"/>
      <w:divBdr>
        <w:top w:val="none" w:sz="0" w:space="0" w:color="auto"/>
        <w:left w:val="none" w:sz="0" w:space="0" w:color="auto"/>
        <w:bottom w:val="none" w:sz="0" w:space="0" w:color="auto"/>
        <w:right w:val="none" w:sz="0" w:space="0" w:color="auto"/>
      </w:divBdr>
    </w:div>
    <w:div w:id="1359358314">
      <w:bodyDiv w:val="1"/>
      <w:marLeft w:val="0"/>
      <w:marRight w:val="0"/>
      <w:marTop w:val="0"/>
      <w:marBottom w:val="0"/>
      <w:divBdr>
        <w:top w:val="none" w:sz="0" w:space="0" w:color="auto"/>
        <w:left w:val="none" w:sz="0" w:space="0" w:color="auto"/>
        <w:bottom w:val="none" w:sz="0" w:space="0" w:color="auto"/>
        <w:right w:val="none" w:sz="0" w:space="0" w:color="auto"/>
      </w:divBdr>
      <w:divsChild>
        <w:div w:id="1181048347">
          <w:marLeft w:val="0"/>
          <w:marRight w:val="0"/>
          <w:marTop w:val="0"/>
          <w:marBottom w:val="0"/>
          <w:divBdr>
            <w:top w:val="none" w:sz="0" w:space="0" w:color="auto"/>
            <w:left w:val="none" w:sz="0" w:space="0" w:color="auto"/>
            <w:bottom w:val="none" w:sz="0" w:space="0" w:color="auto"/>
            <w:right w:val="none" w:sz="0" w:space="0" w:color="auto"/>
          </w:divBdr>
        </w:div>
      </w:divsChild>
    </w:div>
    <w:div w:id="1360353249">
      <w:bodyDiv w:val="1"/>
      <w:marLeft w:val="0"/>
      <w:marRight w:val="0"/>
      <w:marTop w:val="0"/>
      <w:marBottom w:val="0"/>
      <w:divBdr>
        <w:top w:val="none" w:sz="0" w:space="0" w:color="auto"/>
        <w:left w:val="none" w:sz="0" w:space="0" w:color="auto"/>
        <w:bottom w:val="none" w:sz="0" w:space="0" w:color="auto"/>
        <w:right w:val="none" w:sz="0" w:space="0" w:color="auto"/>
      </w:divBdr>
    </w:div>
    <w:div w:id="1363828137">
      <w:bodyDiv w:val="1"/>
      <w:marLeft w:val="0"/>
      <w:marRight w:val="0"/>
      <w:marTop w:val="0"/>
      <w:marBottom w:val="0"/>
      <w:divBdr>
        <w:top w:val="none" w:sz="0" w:space="0" w:color="auto"/>
        <w:left w:val="none" w:sz="0" w:space="0" w:color="auto"/>
        <w:bottom w:val="none" w:sz="0" w:space="0" w:color="auto"/>
        <w:right w:val="none" w:sz="0" w:space="0" w:color="auto"/>
      </w:divBdr>
    </w:div>
    <w:div w:id="1369523737">
      <w:bodyDiv w:val="1"/>
      <w:marLeft w:val="0"/>
      <w:marRight w:val="0"/>
      <w:marTop w:val="0"/>
      <w:marBottom w:val="0"/>
      <w:divBdr>
        <w:top w:val="none" w:sz="0" w:space="0" w:color="auto"/>
        <w:left w:val="none" w:sz="0" w:space="0" w:color="auto"/>
        <w:bottom w:val="none" w:sz="0" w:space="0" w:color="auto"/>
        <w:right w:val="none" w:sz="0" w:space="0" w:color="auto"/>
      </w:divBdr>
    </w:div>
    <w:div w:id="1386566287">
      <w:bodyDiv w:val="1"/>
      <w:marLeft w:val="0"/>
      <w:marRight w:val="0"/>
      <w:marTop w:val="0"/>
      <w:marBottom w:val="0"/>
      <w:divBdr>
        <w:top w:val="none" w:sz="0" w:space="0" w:color="auto"/>
        <w:left w:val="none" w:sz="0" w:space="0" w:color="auto"/>
        <w:bottom w:val="none" w:sz="0" w:space="0" w:color="auto"/>
        <w:right w:val="none" w:sz="0" w:space="0" w:color="auto"/>
      </w:divBdr>
    </w:div>
    <w:div w:id="1395156811">
      <w:bodyDiv w:val="1"/>
      <w:marLeft w:val="0"/>
      <w:marRight w:val="0"/>
      <w:marTop w:val="0"/>
      <w:marBottom w:val="0"/>
      <w:divBdr>
        <w:top w:val="none" w:sz="0" w:space="0" w:color="auto"/>
        <w:left w:val="none" w:sz="0" w:space="0" w:color="auto"/>
        <w:bottom w:val="none" w:sz="0" w:space="0" w:color="auto"/>
        <w:right w:val="none" w:sz="0" w:space="0" w:color="auto"/>
      </w:divBdr>
    </w:div>
    <w:div w:id="1409498837">
      <w:bodyDiv w:val="1"/>
      <w:marLeft w:val="0"/>
      <w:marRight w:val="0"/>
      <w:marTop w:val="0"/>
      <w:marBottom w:val="0"/>
      <w:divBdr>
        <w:top w:val="none" w:sz="0" w:space="0" w:color="auto"/>
        <w:left w:val="none" w:sz="0" w:space="0" w:color="auto"/>
        <w:bottom w:val="none" w:sz="0" w:space="0" w:color="auto"/>
        <w:right w:val="none" w:sz="0" w:space="0" w:color="auto"/>
      </w:divBdr>
      <w:divsChild>
        <w:div w:id="1505901467">
          <w:marLeft w:val="0"/>
          <w:marRight w:val="0"/>
          <w:marTop w:val="0"/>
          <w:marBottom w:val="0"/>
          <w:divBdr>
            <w:top w:val="none" w:sz="0" w:space="0" w:color="auto"/>
            <w:left w:val="none" w:sz="0" w:space="0" w:color="auto"/>
            <w:bottom w:val="none" w:sz="0" w:space="0" w:color="auto"/>
            <w:right w:val="none" w:sz="0" w:space="0" w:color="auto"/>
          </w:divBdr>
        </w:div>
      </w:divsChild>
    </w:div>
    <w:div w:id="1415322131">
      <w:bodyDiv w:val="1"/>
      <w:marLeft w:val="0"/>
      <w:marRight w:val="0"/>
      <w:marTop w:val="0"/>
      <w:marBottom w:val="0"/>
      <w:divBdr>
        <w:top w:val="none" w:sz="0" w:space="0" w:color="auto"/>
        <w:left w:val="none" w:sz="0" w:space="0" w:color="auto"/>
        <w:bottom w:val="none" w:sz="0" w:space="0" w:color="auto"/>
        <w:right w:val="none" w:sz="0" w:space="0" w:color="auto"/>
      </w:divBdr>
      <w:divsChild>
        <w:div w:id="143552041">
          <w:marLeft w:val="0"/>
          <w:marRight w:val="0"/>
          <w:marTop w:val="0"/>
          <w:marBottom w:val="0"/>
          <w:divBdr>
            <w:top w:val="none" w:sz="0" w:space="0" w:color="auto"/>
            <w:left w:val="none" w:sz="0" w:space="0" w:color="auto"/>
            <w:bottom w:val="none" w:sz="0" w:space="0" w:color="auto"/>
            <w:right w:val="none" w:sz="0" w:space="0" w:color="auto"/>
          </w:divBdr>
        </w:div>
      </w:divsChild>
    </w:div>
    <w:div w:id="1434593675">
      <w:bodyDiv w:val="1"/>
      <w:marLeft w:val="0"/>
      <w:marRight w:val="0"/>
      <w:marTop w:val="0"/>
      <w:marBottom w:val="0"/>
      <w:divBdr>
        <w:top w:val="none" w:sz="0" w:space="0" w:color="auto"/>
        <w:left w:val="none" w:sz="0" w:space="0" w:color="auto"/>
        <w:bottom w:val="none" w:sz="0" w:space="0" w:color="auto"/>
        <w:right w:val="none" w:sz="0" w:space="0" w:color="auto"/>
      </w:divBdr>
    </w:div>
    <w:div w:id="1437942361">
      <w:bodyDiv w:val="1"/>
      <w:marLeft w:val="0"/>
      <w:marRight w:val="0"/>
      <w:marTop w:val="0"/>
      <w:marBottom w:val="0"/>
      <w:divBdr>
        <w:top w:val="none" w:sz="0" w:space="0" w:color="auto"/>
        <w:left w:val="none" w:sz="0" w:space="0" w:color="auto"/>
        <w:bottom w:val="none" w:sz="0" w:space="0" w:color="auto"/>
        <w:right w:val="none" w:sz="0" w:space="0" w:color="auto"/>
      </w:divBdr>
    </w:div>
    <w:div w:id="1443453261">
      <w:bodyDiv w:val="1"/>
      <w:marLeft w:val="0"/>
      <w:marRight w:val="0"/>
      <w:marTop w:val="0"/>
      <w:marBottom w:val="0"/>
      <w:divBdr>
        <w:top w:val="none" w:sz="0" w:space="0" w:color="auto"/>
        <w:left w:val="none" w:sz="0" w:space="0" w:color="auto"/>
        <w:bottom w:val="none" w:sz="0" w:space="0" w:color="auto"/>
        <w:right w:val="none" w:sz="0" w:space="0" w:color="auto"/>
      </w:divBdr>
      <w:divsChild>
        <w:div w:id="1011833928">
          <w:marLeft w:val="0"/>
          <w:marRight w:val="0"/>
          <w:marTop w:val="0"/>
          <w:marBottom w:val="0"/>
          <w:divBdr>
            <w:top w:val="none" w:sz="0" w:space="0" w:color="auto"/>
            <w:left w:val="none" w:sz="0" w:space="0" w:color="auto"/>
            <w:bottom w:val="none" w:sz="0" w:space="0" w:color="auto"/>
            <w:right w:val="none" w:sz="0" w:space="0" w:color="auto"/>
          </w:divBdr>
        </w:div>
      </w:divsChild>
    </w:div>
    <w:div w:id="1449204086">
      <w:bodyDiv w:val="1"/>
      <w:marLeft w:val="0"/>
      <w:marRight w:val="0"/>
      <w:marTop w:val="0"/>
      <w:marBottom w:val="0"/>
      <w:divBdr>
        <w:top w:val="none" w:sz="0" w:space="0" w:color="auto"/>
        <w:left w:val="none" w:sz="0" w:space="0" w:color="auto"/>
        <w:bottom w:val="none" w:sz="0" w:space="0" w:color="auto"/>
        <w:right w:val="none" w:sz="0" w:space="0" w:color="auto"/>
      </w:divBdr>
    </w:div>
    <w:div w:id="1458111386">
      <w:bodyDiv w:val="1"/>
      <w:marLeft w:val="0"/>
      <w:marRight w:val="0"/>
      <w:marTop w:val="0"/>
      <w:marBottom w:val="0"/>
      <w:divBdr>
        <w:top w:val="none" w:sz="0" w:space="0" w:color="auto"/>
        <w:left w:val="none" w:sz="0" w:space="0" w:color="auto"/>
        <w:bottom w:val="none" w:sz="0" w:space="0" w:color="auto"/>
        <w:right w:val="none" w:sz="0" w:space="0" w:color="auto"/>
      </w:divBdr>
    </w:div>
    <w:div w:id="1462528884">
      <w:bodyDiv w:val="1"/>
      <w:marLeft w:val="0"/>
      <w:marRight w:val="0"/>
      <w:marTop w:val="0"/>
      <w:marBottom w:val="0"/>
      <w:divBdr>
        <w:top w:val="none" w:sz="0" w:space="0" w:color="auto"/>
        <w:left w:val="none" w:sz="0" w:space="0" w:color="auto"/>
        <w:bottom w:val="none" w:sz="0" w:space="0" w:color="auto"/>
        <w:right w:val="none" w:sz="0" w:space="0" w:color="auto"/>
      </w:divBdr>
    </w:div>
    <w:div w:id="1463034629">
      <w:bodyDiv w:val="1"/>
      <w:marLeft w:val="0"/>
      <w:marRight w:val="0"/>
      <w:marTop w:val="0"/>
      <w:marBottom w:val="0"/>
      <w:divBdr>
        <w:top w:val="none" w:sz="0" w:space="0" w:color="auto"/>
        <w:left w:val="none" w:sz="0" w:space="0" w:color="auto"/>
        <w:bottom w:val="none" w:sz="0" w:space="0" w:color="auto"/>
        <w:right w:val="none" w:sz="0" w:space="0" w:color="auto"/>
      </w:divBdr>
    </w:div>
    <w:div w:id="1466004444">
      <w:bodyDiv w:val="1"/>
      <w:marLeft w:val="0"/>
      <w:marRight w:val="0"/>
      <w:marTop w:val="0"/>
      <w:marBottom w:val="0"/>
      <w:divBdr>
        <w:top w:val="none" w:sz="0" w:space="0" w:color="auto"/>
        <w:left w:val="none" w:sz="0" w:space="0" w:color="auto"/>
        <w:bottom w:val="none" w:sz="0" w:space="0" w:color="auto"/>
        <w:right w:val="none" w:sz="0" w:space="0" w:color="auto"/>
      </w:divBdr>
      <w:divsChild>
        <w:div w:id="1788162230">
          <w:marLeft w:val="0"/>
          <w:marRight w:val="0"/>
          <w:marTop w:val="0"/>
          <w:marBottom w:val="0"/>
          <w:divBdr>
            <w:top w:val="none" w:sz="0" w:space="0" w:color="auto"/>
            <w:left w:val="none" w:sz="0" w:space="0" w:color="auto"/>
            <w:bottom w:val="none" w:sz="0" w:space="0" w:color="auto"/>
            <w:right w:val="none" w:sz="0" w:space="0" w:color="auto"/>
          </w:divBdr>
        </w:div>
      </w:divsChild>
    </w:div>
    <w:div w:id="1478303260">
      <w:bodyDiv w:val="1"/>
      <w:marLeft w:val="0"/>
      <w:marRight w:val="0"/>
      <w:marTop w:val="0"/>
      <w:marBottom w:val="0"/>
      <w:divBdr>
        <w:top w:val="none" w:sz="0" w:space="0" w:color="auto"/>
        <w:left w:val="none" w:sz="0" w:space="0" w:color="auto"/>
        <w:bottom w:val="none" w:sz="0" w:space="0" w:color="auto"/>
        <w:right w:val="none" w:sz="0" w:space="0" w:color="auto"/>
      </w:divBdr>
    </w:div>
    <w:div w:id="1480000525">
      <w:bodyDiv w:val="1"/>
      <w:marLeft w:val="0"/>
      <w:marRight w:val="0"/>
      <w:marTop w:val="0"/>
      <w:marBottom w:val="0"/>
      <w:divBdr>
        <w:top w:val="none" w:sz="0" w:space="0" w:color="auto"/>
        <w:left w:val="none" w:sz="0" w:space="0" w:color="auto"/>
        <w:bottom w:val="none" w:sz="0" w:space="0" w:color="auto"/>
        <w:right w:val="none" w:sz="0" w:space="0" w:color="auto"/>
      </w:divBdr>
      <w:divsChild>
        <w:div w:id="870923130">
          <w:marLeft w:val="0"/>
          <w:marRight w:val="0"/>
          <w:marTop w:val="0"/>
          <w:marBottom w:val="0"/>
          <w:divBdr>
            <w:top w:val="none" w:sz="0" w:space="0" w:color="auto"/>
            <w:left w:val="none" w:sz="0" w:space="0" w:color="auto"/>
            <w:bottom w:val="none" w:sz="0" w:space="0" w:color="auto"/>
            <w:right w:val="none" w:sz="0" w:space="0" w:color="auto"/>
          </w:divBdr>
        </w:div>
      </w:divsChild>
    </w:div>
    <w:div w:id="1480223286">
      <w:bodyDiv w:val="1"/>
      <w:marLeft w:val="0"/>
      <w:marRight w:val="0"/>
      <w:marTop w:val="0"/>
      <w:marBottom w:val="0"/>
      <w:divBdr>
        <w:top w:val="none" w:sz="0" w:space="0" w:color="auto"/>
        <w:left w:val="none" w:sz="0" w:space="0" w:color="auto"/>
        <w:bottom w:val="none" w:sz="0" w:space="0" w:color="auto"/>
        <w:right w:val="none" w:sz="0" w:space="0" w:color="auto"/>
      </w:divBdr>
    </w:div>
    <w:div w:id="1505780486">
      <w:bodyDiv w:val="1"/>
      <w:marLeft w:val="0"/>
      <w:marRight w:val="0"/>
      <w:marTop w:val="0"/>
      <w:marBottom w:val="0"/>
      <w:divBdr>
        <w:top w:val="none" w:sz="0" w:space="0" w:color="auto"/>
        <w:left w:val="none" w:sz="0" w:space="0" w:color="auto"/>
        <w:bottom w:val="none" w:sz="0" w:space="0" w:color="auto"/>
        <w:right w:val="none" w:sz="0" w:space="0" w:color="auto"/>
      </w:divBdr>
    </w:div>
    <w:div w:id="1510757444">
      <w:bodyDiv w:val="1"/>
      <w:marLeft w:val="0"/>
      <w:marRight w:val="0"/>
      <w:marTop w:val="0"/>
      <w:marBottom w:val="0"/>
      <w:divBdr>
        <w:top w:val="none" w:sz="0" w:space="0" w:color="auto"/>
        <w:left w:val="none" w:sz="0" w:space="0" w:color="auto"/>
        <w:bottom w:val="none" w:sz="0" w:space="0" w:color="auto"/>
        <w:right w:val="none" w:sz="0" w:space="0" w:color="auto"/>
      </w:divBdr>
    </w:div>
    <w:div w:id="1524127730">
      <w:bodyDiv w:val="1"/>
      <w:marLeft w:val="0"/>
      <w:marRight w:val="0"/>
      <w:marTop w:val="0"/>
      <w:marBottom w:val="0"/>
      <w:divBdr>
        <w:top w:val="none" w:sz="0" w:space="0" w:color="auto"/>
        <w:left w:val="none" w:sz="0" w:space="0" w:color="auto"/>
        <w:bottom w:val="none" w:sz="0" w:space="0" w:color="auto"/>
        <w:right w:val="none" w:sz="0" w:space="0" w:color="auto"/>
      </w:divBdr>
    </w:div>
    <w:div w:id="1524320858">
      <w:bodyDiv w:val="1"/>
      <w:marLeft w:val="0"/>
      <w:marRight w:val="0"/>
      <w:marTop w:val="0"/>
      <w:marBottom w:val="0"/>
      <w:divBdr>
        <w:top w:val="none" w:sz="0" w:space="0" w:color="auto"/>
        <w:left w:val="none" w:sz="0" w:space="0" w:color="auto"/>
        <w:bottom w:val="none" w:sz="0" w:space="0" w:color="auto"/>
        <w:right w:val="none" w:sz="0" w:space="0" w:color="auto"/>
      </w:divBdr>
      <w:divsChild>
        <w:div w:id="1393843506">
          <w:marLeft w:val="0"/>
          <w:marRight w:val="0"/>
          <w:marTop w:val="0"/>
          <w:marBottom w:val="0"/>
          <w:divBdr>
            <w:top w:val="none" w:sz="0" w:space="0" w:color="auto"/>
            <w:left w:val="none" w:sz="0" w:space="0" w:color="auto"/>
            <w:bottom w:val="none" w:sz="0" w:space="0" w:color="auto"/>
            <w:right w:val="none" w:sz="0" w:space="0" w:color="auto"/>
          </w:divBdr>
        </w:div>
      </w:divsChild>
    </w:div>
    <w:div w:id="1537042325">
      <w:bodyDiv w:val="1"/>
      <w:marLeft w:val="0"/>
      <w:marRight w:val="0"/>
      <w:marTop w:val="0"/>
      <w:marBottom w:val="0"/>
      <w:divBdr>
        <w:top w:val="none" w:sz="0" w:space="0" w:color="auto"/>
        <w:left w:val="none" w:sz="0" w:space="0" w:color="auto"/>
        <w:bottom w:val="none" w:sz="0" w:space="0" w:color="auto"/>
        <w:right w:val="none" w:sz="0" w:space="0" w:color="auto"/>
      </w:divBdr>
    </w:div>
    <w:div w:id="1548490099">
      <w:bodyDiv w:val="1"/>
      <w:marLeft w:val="0"/>
      <w:marRight w:val="0"/>
      <w:marTop w:val="0"/>
      <w:marBottom w:val="0"/>
      <w:divBdr>
        <w:top w:val="none" w:sz="0" w:space="0" w:color="auto"/>
        <w:left w:val="none" w:sz="0" w:space="0" w:color="auto"/>
        <w:bottom w:val="none" w:sz="0" w:space="0" w:color="auto"/>
        <w:right w:val="none" w:sz="0" w:space="0" w:color="auto"/>
      </w:divBdr>
      <w:divsChild>
        <w:div w:id="799881539">
          <w:marLeft w:val="0"/>
          <w:marRight w:val="0"/>
          <w:marTop w:val="0"/>
          <w:marBottom w:val="0"/>
          <w:divBdr>
            <w:top w:val="none" w:sz="0" w:space="0" w:color="auto"/>
            <w:left w:val="none" w:sz="0" w:space="0" w:color="auto"/>
            <w:bottom w:val="none" w:sz="0" w:space="0" w:color="auto"/>
            <w:right w:val="none" w:sz="0" w:space="0" w:color="auto"/>
          </w:divBdr>
        </w:div>
      </w:divsChild>
    </w:div>
    <w:div w:id="1548957147">
      <w:bodyDiv w:val="1"/>
      <w:marLeft w:val="0"/>
      <w:marRight w:val="0"/>
      <w:marTop w:val="0"/>
      <w:marBottom w:val="0"/>
      <w:divBdr>
        <w:top w:val="none" w:sz="0" w:space="0" w:color="auto"/>
        <w:left w:val="none" w:sz="0" w:space="0" w:color="auto"/>
        <w:bottom w:val="none" w:sz="0" w:space="0" w:color="auto"/>
        <w:right w:val="none" w:sz="0" w:space="0" w:color="auto"/>
      </w:divBdr>
    </w:div>
    <w:div w:id="1549875860">
      <w:bodyDiv w:val="1"/>
      <w:marLeft w:val="0"/>
      <w:marRight w:val="0"/>
      <w:marTop w:val="0"/>
      <w:marBottom w:val="0"/>
      <w:divBdr>
        <w:top w:val="none" w:sz="0" w:space="0" w:color="auto"/>
        <w:left w:val="none" w:sz="0" w:space="0" w:color="auto"/>
        <w:bottom w:val="none" w:sz="0" w:space="0" w:color="auto"/>
        <w:right w:val="none" w:sz="0" w:space="0" w:color="auto"/>
      </w:divBdr>
    </w:div>
    <w:div w:id="1560046576">
      <w:bodyDiv w:val="1"/>
      <w:marLeft w:val="0"/>
      <w:marRight w:val="0"/>
      <w:marTop w:val="0"/>
      <w:marBottom w:val="0"/>
      <w:divBdr>
        <w:top w:val="none" w:sz="0" w:space="0" w:color="auto"/>
        <w:left w:val="none" w:sz="0" w:space="0" w:color="auto"/>
        <w:bottom w:val="none" w:sz="0" w:space="0" w:color="auto"/>
        <w:right w:val="none" w:sz="0" w:space="0" w:color="auto"/>
      </w:divBdr>
    </w:div>
    <w:div w:id="1565136771">
      <w:bodyDiv w:val="1"/>
      <w:marLeft w:val="0"/>
      <w:marRight w:val="0"/>
      <w:marTop w:val="0"/>
      <w:marBottom w:val="0"/>
      <w:divBdr>
        <w:top w:val="none" w:sz="0" w:space="0" w:color="auto"/>
        <w:left w:val="none" w:sz="0" w:space="0" w:color="auto"/>
        <w:bottom w:val="none" w:sz="0" w:space="0" w:color="auto"/>
        <w:right w:val="none" w:sz="0" w:space="0" w:color="auto"/>
      </w:divBdr>
      <w:divsChild>
        <w:div w:id="100415811">
          <w:marLeft w:val="0"/>
          <w:marRight w:val="0"/>
          <w:marTop w:val="0"/>
          <w:marBottom w:val="0"/>
          <w:divBdr>
            <w:top w:val="none" w:sz="0" w:space="0" w:color="auto"/>
            <w:left w:val="none" w:sz="0" w:space="0" w:color="auto"/>
            <w:bottom w:val="none" w:sz="0" w:space="0" w:color="auto"/>
            <w:right w:val="none" w:sz="0" w:space="0" w:color="auto"/>
          </w:divBdr>
        </w:div>
      </w:divsChild>
    </w:div>
    <w:div w:id="1568950520">
      <w:bodyDiv w:val="1"/>
      <w:marLeft w:val="0"/>
      <w:marRight w:val="0"/>
      <w:marTop w:val="0"/>
      <w:marBottom w:val="0"/>
      <w:divBdr>
        <w:top w:val="none" w:sz="0" w:space="0" w:color="auto"/>
        <w:left w:val="none" w:sz="0" w:space="0" w:color="auto"/>
        <w:bottom w:val="none" w:sz="0" w:space="0" w:color="auto"/>
        <w:right w:val="none" w:sz="0" w:space="0" w:color="auto"/>
      </w:divBdr>
      <w:divsChild>
        <w:div w:id="760954560">
          <w:marLeft w:val="0"/>
          <w:marRight w:val="0"/>
          <w:marTop w:val="0"/>
          <w:marBottom w:val="0"/>
          <w:divBdr>
            <w:top w:val="none" w:sz="0" w:space="0" w:color="auto"/>
            <w:left w:val="none" w:sz="0" w:space="0" w:color="auto"/>
            <w:bottom w:val="none" w:sz="0" w:space="0" w:color="auto"/>
            <w:right w:val="none" w:sz="0" w:space="0" w:color="auto"/>
          </w:divBdr>
        </w:div>
      </w:divsChild>
    </w:div>
    <w:div w:id="1572352252">
      <w:bodyDiv w:val="1"/>
      <w:marLeft w:val="0"/>
      <w:marRight w:val="0"/>
      <w:marTop w:val="0"/>
      <w:marBottom w:val="0"/>
      <w:divBdr>
        <w:top w:val="none" w:sz="0" w:space="0" w:color="auto"/>
        <w:left w:val="none" w:sz="0" w:space="0" w:color="auto"/>
        <w:bottom w:val="none" w:sz="0" w:space="0" w:color="auto"/>
        <w:right w:val="none" w:sz="0" w:space="0" w:color="auto"/>
      </w:divBdr>
    </w:div>
    <w:div w:id="1585214101">
      <w:bodyDiv w:val="1"/>
      <w:marLeft w:val="0"/>
      <w:marRight w:val="0"/>
      <w:marTop w:val="0"/>
      <w:marBottom w:val="0"/>
      <w:divBdr>
        <w:top w:val="none" w:sz="0" w:space="0" w:color="auto"/>
        <w:left w:val="none" w:sz="0" w:space="0" w:color="auto"/>
        <w:bottom w:val="none" w:sz="0" w:space="0" w:color="auto"/>
        <w:right w:val="none" w:sz="0" w:space="0" w:color="auto"/>
      </w:divBdr>
      <w:divsChild>
        <w:div w:id="1799836226">
          <w:marLeft w:val="0"/>
          <w:marRight w:val="0"/>
          <w:marTop w:val="0"/>
          <w:marBottom w:val="0"/>
          <w:divBdr>
            <w:top w:val="none" w:sz="0" w:space="0" w:color="auto"/>
            <w:left w:val="none" w:sz="0" w:space="0" w:color="auto"/>
            <w:bottom w:val="none" w:sz="0" w:space="0" w:color="auto"/>
            <w:right w:val="none" w:sz="0" w:space="0" w:color="auto"/>
          </w:divBdr>
        </w:div>
      </w:divsChild>
    </w:div>
    <w:div w:id="1588155858">
      <w:bodyDiv w:val="1"/>
      <w:marLeft w:val="0"/>
      <w:marRight w:val="0"/>
      <w:marTop w:val="0"/>
      <w:marBottom w:val="0"/>
      <w:divBdr>
        <w:top w:val="none" w:sz="0" w:space="0" w:color="auto"/>
        <w:left w:val="none" w:sz="0" w:space="0" w:color="auto"/>
        <w:bottom w:val="none" w:sz="0" w:space="0" w:color="auto"/>
        <w:right w:val="none" w:sz="0" w:space="0" w:color="auto"/>
      </w:divBdr>
    </w:div>
    <w:div w:id="1590046472">
      <w:bodyDiv w:val="1"/>
      <w:marLeft w:val="0"/>
      <w:marRight w:val="0"/>
      <w:marTop w:val="0"/>
      <w:marBottom w:val="0"/>
      <w:divBdr>
        <w:top w:val="none" w:sz="0" w:space="0" w:color="auto"/>
        <w:left w:val="none" w:sz="0" w:space="0" w:color="auto"/>
        <w:bottom w:val="none" w:sz="0" w:space="0" w:color="auto"/>
        <w:right w:val="none" w:sz="0" w:space="0" w:color="auto"/>
      </w:divBdr>
      <w:divsChild>
        <w:div w:id="1482650201">
          <w:marLeft w:val="0"/>
          <w:marRight w:val="0"/>
          <w:marTop w:val="0"/>
          <w:marBottom w:val="0"/>
          <w:divBdr>
            <w:top w:val="none" w:sz="0" w:space="0" w:color="auto"/>
            <w:left w:val="none" w:sz="0" w:space="0" w:color="auto"/>
            <w:bottom w:val="none" w:sz="0" w:space="0" w:color="auto"/>
            <w:right w:val="none" w:sz="0" w:space="0" w:color="auto"/>
          </w:divBdr>
        </w:div>
      </w:divsChild>
    </w:div>
    <w:div w:id="1591542377">
      <w:bodyDiv w:val="1"/>
      <w:marLeft w:val="0"/>
      <w:marRight w:val="0"/>
      <w:marTop w:val="0"/>
      <w:marBottom w:val="0"/>
      <w:divBdr>
        <w:top w:val="none" w:sz="0" w:space="0" w:color="auto"/>
        <w:left w:val="none" w:sz="0" w:space="0" w:color="auto"/>
        <w:bottom w:val="none" w:sz="0" w:space="0" w:color="auto"/>
        <w:right w:val="none" w:sz="0" w:space="0" w:color="auto"/>
      </w:divBdr>
      <w:divsChild>
        <w:div w:id="181163934">
          <w:marLeft w:val="0"/>
          <w:marRight w:val="0"/>
          <w:marTop w:val="0"/>
          <w:marBottom w:val="0"/>
          <w:divBdr>
            <w:top w:val="none" w:sz="0" w:space="0" w:color="auto"/>
            <w:left w:val="none" w:sz="0" w:space="0" w:color="auto"/>
            <w:bottom w:val="none" w:sz="0" w:space="0" w:color="auto"/>
            <w:right w:val="none" w:sz="0" w:space="0" w:color="auto"/>
          </w:divBdr>
        </w:div>
      </w:divsChild>
    </w:div>
    <w:div w:id="1599750062">
      <w:bodyDiv w:val="1"/>
      <w:marLeft w:val="0"/>
      <w:marRight w:val="0"/>
      <w:marTop w:val="0"/>
      <w:marBottom w:val="0"/>
      <w:divBdr>
        <w:top w:val="none" w:sz="0" w:space="0" w:color="auto"/>
        <w:left w:val="none" w:sz="0" w:space="0" w:color="auto"/>
        <w:bottom w:val="none" w:sz="0" w:space="0" w:color="auto"/>
        <w:right w:val="none" w:sz="0" w:space="0" w:color="auto"/>
      </w:divBdr>
    </w:div>
    <w:div w:id="1607469377">
      <w:bodyDiv w:val="1"/>
      <w:marLeft w:val="0"/>
      <w:marRight w:val="0"/>
      <w:marTop w:val="0"/>
      <w:marBottom w:val="0"/>
      <w:divBdr>
        <w:top w:val="none" w:sz="0" w:space="0" w:color="auto"/>
        <w:left w:val="none" w:sz="0" w:space="0" w:color="auto"/>
        <w:bottom w:val="none" w:sz="0" w:space="0" w:color="auto"/>
        <w:right w:val="none" w:sz="0" w:space="0" w:color="auto"/>
      </w:divBdr>
      <w:divsChild>
        <w:div w:id="1423179785">
          <w:marLeft w:val="0"/>
          <w:marRight w:val="0"/>
          <w:marTop w:val="0"/>
          <w:marBottom w:val="0"/>
          <w:divBdr>
            <w:top w:val="none" w:sz="0" w:space="0" w:color="auto"/>
            <w:left w:val="none" w:sz="0" w:space="0" w:color="auto"/>
            <w:bottom w:val="none" w:sz="0" w:space="0" w:color="auto"/>
            <w:right w:val="none" w:sz="0" w:space="0" w:color="auto"/>
          </w:divBdr>
        </w:div>
      </w:divsChild>
    </w:div>
    <w:div w:id="1609968164">
      <w:bodyDiv w:val="1"/>
      <w:marLeft w:val="0"/>
      <w:marRight w:val="0"/>
      <w:marTop w:val="0"/>
      <w:marBottom w:val="0"/>
      <w:divBdr>
        <w:top w:val="none" w:sz="0" w:space="0" w:color="auto"/>
        <w:left w:val="none" w:sz="0" w:space="0" w:color="auto"/>
        <w:bottom w:val="none" w:sz="0" w:space="0" w:color="auto"/>
        <w:right w:val="none" w:sz="0" w:space="0" w:color="auto"/>
      </w:divBdr>
      <w:divsChild>
        <w:div w:id="1457680684">
          <w:marLeft w:val="0"/>
          <w:marRight w:val="0"/>
          <w:marTop w:val="0"/>
          <w:marBottom w:val="0"/>
          <w:divBdr>
            <w:top w:val="none" w:sz="0" w:space="0" w:color="auto"/>
            <w:left w:val="none" w:sz="0" w:space="0" w:color="auto"/>
            <w:bottom w:val="none" w:sz="0" w:space="0" w:color="auto"/>
            <w:right w:val="none" w:sz="0" w:space="0" w:color="auto"/>
          </w:divBdr>
        </w:div>
      </w:divsChild>
    </w:div>
    <w:div w:id="1626960363">
      <w:bodyDiv w:val="1"/>
      <w:marLeft w:val="0"/>
      <w:marRight w:val="0"/>
      <w:marTop w:val="0"/>
      <w:marBottom w:val="0"/>
      <w:divBdr>
        <w:top w:val="none" w:sz="0" w:space="0" w:color="auto"/>
        <w:left w:val="none" w:sz="0" w:space="0" w:color="auto"/>
        <w:bottom w:val="none" w:sz="0" w:space="0" w:color="auto"/>
        <w:right w:val="none" w:sz="0" w:space="0" w:color="auto"/>
      </w:divBdr>
    </w:div>
    <w:div w:id="1628125944">
      <w:bodyDiv w:val="1"/>
      <w:marLeft w:val="0"/>
      <w:marRight w:val="0"/>
      <w:marTop w:val="0"/>
      <w:marBottom w:val="0"/>
      <w:divBdr>
        <w:top w:val="none" w:sz="0" w:space="0" w:color="auto"/>
        <w:left w:val="none" w:sz="0" w:space="0" w:color="auto"/>
        <w:bottom w:val="none" w:sz="0" w:space="0" w:color="auto"/>
        <w:right w:val="none" w:sz="0" w:space="0" w:color="auto"/>
      </w:divBdr>
    </w:div>
    <w:div w:id="1632979864">
      <w:bodyDiv w:val="1"/>
      <w:marLeft w:val="0"/>
      <w:marRight w:val="0"/>
      <w:marTop w:val="0"/>
      <w:marBottom w:val="0"/>
      <w:divBdr>
        <w:top w:val="none" w:sz="0" w:space="0" w:color="auto"/>
        <w:left w:val="none" w:sz="0" w:space="0" w:color="auto"/>
        <w:bottom w:val="none" w:sz="0" w:space="0" w:color="auto"/>
        <w:right w:val="none" w:sz="0" w:space="0" w:color="auto"/>
      </w:divBdr>
    </w:div>
    <w:div w:id="1635678946">
      <w:bodyDiv w:val="1"/>
      <w:marLeft w:val="0"/>
      <w:marRight w:val="0"/>
      <w:marTop w:val="0"/>
      <w:marBottom w:val="0"/>
      <w:divBdr>
        <w:top w:val="none" w:sz="0" w:space="0" w:color="auto"/>
        <w:left w:val="none" w:sz="0" w:space="0" w:color="auto"/>
        <w:bottom w:val="none" w:sz="0" w:space="0" w:color="auto"/>
        <w:right w:val="none" w:sz="0" w:space="0" w:color="auto"/>
      </w:divBdr>
    </w:div>
    <w:div w:id="1637904898">
      <w:bodyDiv w:val="1"/>
      <w:marLeft w:val="0"/>
      <w:marRight w:val="0"/>
      <w:marTop w:val="0"/>
      <w:marBottom w:val="0"/>
      <w:divBdr>
        <w:top w:val="none" w:sz="0" w:space="0" w:color="auto"/>
        <w:left w:val="none" w:sz="0" w:space="0" w:color="auto"/>
        <w:bottom w:val="none" w:sz="0" w:space="0" w:color="auto"/>
        <w:right w:val="none" w:sz="0" w:space="0" w:color="auto"/>
      </w:divBdr>
    </w:div>
    <w:div w:id="1639214925">
      <w:bodyDiv w:val="1"/>
      <w:marLeft w:val="0"/>
      <w:marRight w:val="0"/>
      <w:marTop w:val="0"/>
      <w:marBottom w:val="0"/>
      <w:divBdr>
        <w:top w:val="none" w:sz="0" w:space="0" w:color="auto"/>
        <w:left w:val="none" w:sz="0" w:space="0" w:color="auto"/>
        <w:bottom w:val="none" w:sz="0" w:space="0" w:color="auto"/>
        <w:right w:val="none" w:sz="0" w:space="0" w:color="auto"/>
      </w:divBdr>
    </w:div>
    <w:div w:id="1645624790">
      <w:bodyDiv w:val="1"/>
      <w:marLeft w:val="0"/>
      <w:marRight w:val="0"/>
      <w:marTop w:val="0"/>
      <w:marBottom w:val="0"/>
      <w:divBdr>
        <w:top w:val="none" w:sz="0" w:space="0" w:color="auto"/>
        <w:left w:val="none" w:sz="0" w:space="0" w:color="auto"/>
        <w:bottom w:val="none" w:sz="0" w:space="0" w:color="auto"/>
        <w:right w:val="none" w:sz="0" w:space="0" w:color="auto"/>
      </w:divBdr>
    </w:div>
    <w:div w:id="1650015218">
      <w:bodyDiv w:val="1"/>
      <w:marLeft w:val="0"/>
      <w:marRight w:val="0"/>
      <w:marTop w:val="0"/>
      <w:marBottom w:val="0"/>
      <w:divBdr>
        <w:top w:val="none" w:sz="0" w:space="0" w:color="auto"/>
        <w:left w:val="none" w:sz="0" w:space="0" w:color="auto"/>
        <w:bottom w:val="none" w:sz="0" w:space="0" w:color="auto"/>
        <w:right w:val="none" w:sz="0" w:space="0" w:color="auto"/>
      </w:divBdr>
    </w:div>
    <w:div w:id="1663388950">
      <w:bodyDiv w:val="1"/>
      <w:marLeft w:val="0"/>
      <w:marRight w:val="0"/>
      <w:marTop w:val="0"/>
      <w:marBottom w:val="0"/>
      <w:divBdr>
        <w:top w:val="none" w:sz="0" w:space="0" w:color="auto"/>
        <w:left w:val="none" w:sz="0" w:space="0" w:color="auto"/>
        <w:bottom w:val="none" w:sz="0" w:space="0" w:color="auto"/>
        <w:right w:val="none" w:sz="0" w:space="0" w:color="auto"/>
      </w:divBdr>
    </w:div>
    <w:div w:id="1666322732">
      <w:bodyDiv w:val="1"/>
      <w:marLeft w:val="0"/>
      <w:marRight w:val="0"/>
      <w:marTop w:val="0"/>
      <w:marBottom w:val="0"/>
      <w:divBdr>
        <w:top w:val="none" w:sz="0" w:space="0" w:color="auto"/>
        <w:left w:val="none" w:sz="0" w:space="0" w:color="auto"/>
        <w:bottom w:val="none" w:sz="0" w:space="0" w:color="auto"/>
        <w:right w:val="none" w:sz="0" w:space="0" w:color="auto"/>
      </w:divBdr>
      <w:divsChild>
        <w:div w:id="2029023216">
          <w:marLeft w:val="0"/>
          <w:marRight w:val="0"/>
          <w:marTop w:val="0"/>
          <w:marBottom w:val="0"/>
          <w:divBdr>
            <w:top w:val="none" w:sz="0" w:space="0" w:color="auto"/>
            <w:left w:val="none" w:sz="0" w:space="0" w:color="auto"/>
            <w:bottom w:val="none" w:sz="0" w:space="0" w:color="auto"/>
            <w:right w:val="none" w:sz="0" w:space="0" w:color="auto"/>
          </w:divBdr>
        </w:div>
      </w:divsChild>
    </w:div>
    <w:div w:id="1669744607">
      <w:bodyDiv w:val="1"/>
      <w:marLeft w:val="0"/>
      <w:marRight w:val="0"/>
      <w:marTop w:val="0"/>
      <w:marBottom w:val="0"/>
      <w:divBdr>
        <w:top w:val="none" w:sz="0" w:space="0" w:color="auto"/>
        <w:left w:val="none" w:sz="0" w:space="0" w:color="auto"/>
        <w:bottom w:val="none" w:sz="0" w:space="0" w:color="auto"/>
        <w:right w:val="none" w:sz="0" w:space="0" w:color="auto"/>
      </w:divBdr>
      <w:divsChild>
        <w:div w:id="486097634">
          <w:marLeft w:val="0"/>
          <w:marRight w:val="0"/>
          <w:marTop w:val="0"/>
          <w:marBottom w:val="0"/>
          <w:divBdr>
            <w:top w:val="none" w:sz="0" w:space="0" w:color="auto"/>
            <w:left w:val="none" w:sz="0" w:space="0" w:color="auto"/>
            <w:bottom w:val="none" w:sz="0" w:space="0" w:color="auto"/>
            <w:right w:val="none" w:sz="0" w:space="0" w:color="auto"/>
          </w:divBdr>
        </w:div>
      </w:divsChild>
    </w:div>
    <w:div w:id="1669866924">
      <w:bodyDiv w:val="1"/>
      <w:marLeft w:val="0"/>
      <w:marRight w:val="0"/>
      <w:marTop w:val="0"/>
      <w:marBottom w:val="0"/>
      <w:divBdr>
        <w:top w:val="none" w:sz="0" w:space="0" w:color="auto"/>
        <w:left w:val="none" w:sz="0" w:space="0" w:color="auto"/>
        <w:bottom w:val="none" w:sz="0" w:space="0" w:color="auto"/>
        <w:right w:val="none" w:sz="0" w:space="0" w:color="auto"/>
      </w:divBdr>
      <w:divsChild>
        <w:div w:id="1723821209">
          <w:marLeft w:val="0"/>
          <w:marRight w:val="0"/>
          <w:marTop w:val="0"/>
          <w:marBottom w:val="0"/>
          <w:divBdr>
            <w:top w:val="none" w:sz="0" w:space="0" w:color="auto"/>
            <w:left w:val="none" w:sz="0" w:space="0" w:color="auto"/>
            <w:bottom w:val="none" w:sz="0" w:space="0" w:color="auto"/>
            <w:right w:val="none" w:sz="0" w:space="0" w:color="auto"/>
          </w:divBdr>
        </w:div>
      </w:divsChild>
    </w:div>
    <w:div w:id="1672371020">
      <w:bodyDiv w:val="1"/>
      <w:marLeft w:val="0"/>
      <w:marRight w:val="0"/>
      <w:marTop w:val="0"/>
      <w:marBottom w:val="0"/>
      <w:divBdr>
        <w:top w:val="none" w:sz="0" w:space="0" w:color="auto"/>
        <w:left w:val="none" w:sz="0" w:space="0" w:color="auto"/>
        <w:bottom w:val="none" w:sz="0" w:space="0" w:color="auto"/>
        <w:right w:val="none" w:sz="0" w:space="0" w:color="auto"/>
      </w:divBdr>
      <w:divsChild>
        <w:div w:id="48890322">
          <w:marLeft w:val="0"/>
          <w:marRight w:val="0"/>
          <w:marTop w:val="0"/>
          <w:marBottom w:val="0"/>
          <w:divBdr>
            <w:top w:val="none" w:sz="0" w:space="0" w:color="auto"/>
            <w:left w:val="none" w:sz="0" w:space="0" w:color="auto"/>
            <w:bottom w:val="none" w:sz="0" w:space="0" w:color="auto"/>
            <w:right w:val="none" w:sz="0" w:space="0" w:color="auto"/>
          </w:divBdr>
        </w:div>
      </w:divsChild>
    </w:div>
    <w:div w:id="1676110970">
      <w:bodyDiv w:val="1"/>
      <w:marLeft w:val="0"/>
      <w:marRight w:val="0"/>
      <w:marTop w:val="0"/>
      <w:marBottom w:val="0"/>
      <w:divBdr>
        <w:top w:val="none" w:sz="0" w:space="0" w:color="auto"/>
        <w:left w:val="none" w:sz="0" w:space="0" w:color="auto"/>
        <w:bottom w:val="none" w:sz="0" w:space="0" w:color="auto"/>
        <w:right w:val="none" w:sz="0" w:space="0" w:color="auto"/>
      </w:divBdr>
    </w:div>
    <w:div w:id="1684167273">
      <w:bodyDiv w:val="1"/>
      <w:marLeft w:val="0"/>
      <w:marRight w:val="0"/>
      <w:marTop w:val="0"/>
      <w:marBottom w:val="0"/>
      <w:divBdr>
        <w:top w:val="none" w:sz="0" w:space="0" w:color="auto"/>
        <w:left w:val="none" w:sz="0" w:space="0" w:color="auto"/>
        <w:bottom w:val="none" w:sz="0" w:space="0" w:color="auto"/>
        <w:right w:val="none" w:sz="0" w:space="0" w:color="auto"/>
      </w:divBdr>
    </w:div>
    <w:div w:id="1692951634">
      <w:bodyDiv w:val="1"/>
      <w:marLeft w:val="0"/>
      <w:marRight w:val="0"/>
      <w:marTop w:val="0"/>
      <w:marBottom w:val="0"/>
      <w:divBdr>
        <w:top w:val="none" w:sz="0" w:space="0" w:color="auto"/>
        <w:left w:val="none" w:sz="0" w:space="0" w:color="auto"/>
        <w:bottom w:val="none" w:sz="0" w:space="0" w:color="auto"/>
        <w:right w:val="none" w:sz="0" w:space="0" w:color="auto"/>
      </w:divBdr>
      <w:divsChild>
        <w:div w:id="441609640">
          <w:marLeft w:val="0"/>
          <w:marRight w:val="0"/>
          <w:marTop w:val="0"/>
          <w:marBottom w:val="0"/>
          <w:divBdr>
            <w:top w:val="none" w:sz="0" w:space="0" w:color="auto"/>
            <w:left w:val="none" w:sz="0" w:space="0" w:color="auto"/>
            <w:bottom w:val="none" w:sz="0" w:space="0" w:color="auto"/>
            <w:right w:val="none" w:sz="0" w:space="0" w:color="auto"/>
          </w:divBdr>
        </w:div>
      </w:divsChild>
    </w:div>
    <w:div w:id="1693798633">
      <w:bodyDiv w:val="1"/>
      <w:marLeft w:val="0"/>
      <w:marRight w:val="0"/>
      <w:marTop w:val="0"/>
      <w:marBottom w:val="0"/>
      <w:divBdr>
        <w:top w:val="none" w:sz="0" w:space="0" w:color="auto"/>
        <w:left w:val="none" w:sz="0" w:space="0" w:color="auto"/>
        <w:bottom w:val="none" w:sz="0" w:space="0" w:color="auto"/>
        <w:right w:val="none" w:sz="0" w:space="0" w:color="auto"/>
      </w:divBdr>
    </w:div>
    <w:div w:id="1704164600">
      <w:bodyDiv w:val="1"/>
      <w:marLeft w:val="0"/>
      <w:marRight w:val="0"/>
      <w:marTop w:val="0"/>
      <w:marBottom w:val="0"/>
      <w:divBdr>
        <w:top w:val="none" w:sz="0" w:space="0" w:color="auto"/>
        <w:left w:val="none" w:sz="0" w:space="0" w:color="auto"/>
        <w:bottom w:val="none" w:sz="0" w:space="0" w:color="auto"/>
        <w:right w:val="none" w:sz="0" w:space="0" w:color="auto"/>
      </w:divBdr>
    </w:div>
    <w:div w:id="1709602527">
      <w:bodyDiv w:val="1"/>
      <w:marLeft w:val="0"/>
      <w:marRight w:val="0"/>
      <w:marTop w:val="0"/>
      <w:marBottom w:val="0"/>
      <w:divBdr>
        <w:top w:val="none" w:sz="0" w:space="0" w:color="auto"/>
        <w:left w:val="none" w:sz="0" w:space="0" w:color="auto"/>
        <w:bottom w:val="none" w:sz="0" w:space="0" w:color="auto"/>
        <w:right w:val="none" w:sz="0" w:space="0" w:color="auto"/>
      </w:divBdr>
      <w:divsChild>
        <w:div w:id="1792090107">
          <w:marLeft w:val="0"/>
          <w:marRight w:val="0"/>
          <w:marTop w:val="0"/>
          <w:marBottom w:val="0"/>
          <w:divBdr>
            <w:top w:val="none" w:sz="0" w:space="0" w:color="auto"/>
            <w:left w:val="none" w:sz="0" w:space="0" w:color="auto"/>
            <w:bottom w:val="none" w:sz="0" w:space="0" w:color="auto"/>
            <w:right w:val="none" w:sz="0" w:space="0" w:color="auto"/>
          </w:divBdr>
        </w:div>
      </w:divsChild>
    </w:div>
    <w:div w:id="1712994047">
      <w:bodyDiv w:val="1"/>
      <w:marLeft w:val="0"/>
      <w:marRight w:val="0"/>
      <w:marTop w:val="0"/>
      <w:marBottom w:val="0"/>
      <w:divBdr>
        <w:top w:val="none" w:sz="0" w:space="0" w:color="auto"/>
        <w:left w:val="none" w:sz="0" w:space="0" w:color="auto"/>
        <w:bottom w:val="none" w:sz="0" w:space="0" w:color="auto"/>
        <w:right w:val="none" w:sz="0" w:space="0" w:color="auto"/>
      </w:divBdr>
    </w:div>
    <w:div w:id="1719013665">
      <w:bodyDiv w:val="1"/>
      <w:marLeft w:val="0"/>
      <w:marRight w:val="0"/>
      <w:marTop w:val="0"/>
      <w:marBottom w:val="0"/>
      <w:divBdr>
        <w:top w:val="none" w:sz="0" w:space="0" w:color="auto"/>
        <w:left w:val="none" w:sz="0" w:space="0" w:color="auto"/>
        <w:bottom w:val="none" w:sz="0" w:space="0" w:color="auto"/>
        <w:right w:val="none" w:sz="0" w:space="0" w:color="auto"/>
      </w:divBdr>
      <w:divsChild>
        <w:div w:id="1046104655">
          <w:marLeft w:val="0"/>
          <w:marRight w:val="0"/>
          <w:marTop w:val="0"/>
          <w:marBottom w:val="0"/>
          <w:divBdr>
            <w:top w:val="none" w:sz="0" w:space="0" w:color="auto"/>
            <w:left w:val="none" w:sz="0" w:space="0" w:color="auto"/>
            <w:bottom w:val="none" w:sz="0" w:space="0" w:color="auto"/>
            <w:right w:val="none" w:sz="0" w:space="0" w:color="auto"/>
          </w:divBdr>
        </w:div>
      </w:divsChild>
    </w:div>
    <w:div w:id="1720738382">
      <w:bodyDiv w:val="1"/>
      <w:marLeft w:val="0"/>
      <w:marRight w:val="0"/>
      <w:marTop w:val="0"/>
      <w:marBottom w:val="0"/>
      <w:divBdr>
        <w:top w:val="none" w:sz="0" w:space="0" w:color="auto"/>
        <w:left w:val="none" w:sz="0" w:space="0" w:color="auto"/>
        <w:bottom w:val="none" w:sz="0" w:space="0" w:color="auto"/>
        <w:right w:val="none" w:sz="0" w:space="0" w:color="auto"/>
      </w:divBdr>
      <w:divsChild>
        <w:div w:id="1554271340">
          <w:marLeft w:val="0"/>
          <w:marRight w:val="0"/>
          <w:marTop w:val="0"/>
          <w:marBottom w:val="0"/>
          <w:divBdr>
            <w:top w:val="none" w:sz="0" w:space="0" w:color="auto"/>
            <w:left w:val="none" w:sz="0" w:space="0" w:color="auto"/>
            <w:bottom w:val="none" w:sz="0" w:space="0" w:color="auto"/>
            <w:right w:val="none" w:sz="0" w:space="0" w:color="auto"/>
          </w:divBdr>
        </w:div>
      </w:divsChild>
    </w:div>
    <w:div w:id="1722751157">
      <w:bodyDiv w:val="1"/>
      <w:marLeft w:val="0"/>
      <w:marRight w:val="0"/>
      <w:marTop w:val="0"/>
      <w:marBottom w:val="0"/>
      <w:divBdr>
        <w:top w:val="none" w:sz="0" w:space="0" w:color="auto"/>
        <w:left w:val="none" w:sz="0" w:space="0" w:color="auto"/>
        <w:bottom w:val="none" w:sz="0" w:space="0" w:color="auto"/>
        <w:right w:val="none" w:sz="0" w:space="0" w:color="auto"/>
      </w:divBdr>
    </w:div>
    <w:div w:id="1727530448">
      <w:bodyDiv w:val="1"/>
      <w:marLeft w:val="0"/>
      <w:marRight w:val="0"/>
      <w:marTop w:val="0"/>
      <w:marBottom w:val="0"/>
      <w:divBdr>
        <w:top w:val="none" w:sz="0" w:space="0" w:color="auto"/>
        <w:left w:val="none" w:sz="0" w:space="0" w:color="auto"/>
        <w:bottom w:val="none" w:sz="0" w:space="0" w:color="auto"/>
        <w:right w:val="none" w:sz="0" w:space="0" w:color="auto"/>
      </w:divBdr>
    </w:div>
    <w:div w:id="1746340045">
      <w:bodyDiv w:val="1"/>
      <w:marLeft w:val="0"/>
      <w:marRight w:val="0"/>
      <w:marTop w:val="0"/>
      <w:marBottom w:val="0"/>
      <w:divBdr>
        <w:top w:val="none" w:sz="0" w:space="0" w:color="auto"/>
        <w:left w:val="none" w:sz="0" w:space="0" w:color="auto"/>
        <w:bottom w:val="none" w:sz="0" w:space="0" w:color="auto"/>
        <w:right w:val="none" w:sz="0" w:space="0" w:color="auto"/>
      </w:divBdr>
    </w:div>
    <w:div w:id="1748305300">
      <w:bodyDiv w:val="1"/>
      <w:marLeft w:val="0"/>
      <w:marRight w:val="0"/>
      <w:marTop w:val="0"/>
      <w:marBottom w:val="0"/>
      <w:divBdr>
        <w:top w:val="none" w:sz="0" w:space="0" w:color="auto"/>
        <w:left w:val="none" w:sz="0" w:space="0" w:color="auto"/>
        <w:bottom w:val="none" w:sz="0" w:space="0" w:color="auto"/>
        <w:right w:val="none" w:sz="0" w:space="0" w:color="auto"/>
      </w:divBdr>
    </w:div>
    <w:div w:id="1762606420">
      <w:bodyDiv w:val="1"/>
      <w:marLeft w:val="0"/>
      <w:marRight w:val="0"/>
      <w:marTop w:val="0"/>
      <w:marBottom w:val="0"/>
      <w:divBdr>
        <w:top w:val="none" w:sz="0" w:space="0" w:color="auto"/>
        <w:left w:val="none" w:sz="0" w:space="0" w:color="auto"/>
        <w:bottom w:val="none" w:sz="0" w:space="0" w:color="auto"/>
        <w:right w:val="none" w:sz="0" w:space="0" w:color="auto"/>
      </w:divBdr>
      <w:divsChild>
        <w:div w:id="511990059">
          <w:marLeft w:val="0"/>
          <w:marRight w:val="0"/>
          <w:marTop w:val="0"/>
          <w:marBottom w:val="0"/>
          <w:divBdr>
            <w:top w:val="none" w:sz="0" w:space="0" w:color="auto"/>
            <w:left w:val="none" w:sz="0" w:space="0" w:color="auto"/>
            <w:bottom w:val="none" w:sz="0" w:space="0" w:color="auto"/>
            <w:right w:val="none" w:sz="0" w:space="0" w:color="auto"/>
          </w:divBdr>
        </w:div>
      </w:divsChild>
    </w:div>
    <w:div w:id="1762682096">
      <w:bodyDiv w:val="1"/>
      <w:marLeft w:val="0"/>
      <w:marRight w:val="0"/>
      <w:marTop w:val="0"/>
      <w:marBottom w:val="0"/>
      <w:divBdr>
        <w:top w:val="none" w:sz="0" w:space="0" w:color="auto"/>
        <w:left w:val="none" w:sz="0" w:space="0" w:color="auto"/>
        <w:bottom w:val="none" w:sz="0" w:space="0" w:color="auto"/>
        <w:right w:val="none" w:sz="0" w:space="0" w:color="auto"/>
      </w:divBdr>
    </w:div>
    <w:div w:id="1763918775">
      <w:bodyDiv w:val="1"/>
      <w:marLeft w:val="0"/>
      <w:marRight w:val="0"/>
      <w:marTop w:val="0"/>
      <w:marBottom w:val="0"/>
      <w:divBdr>
        <w:top w:val="none" w:sz="0" w:space="0" w:color="auto"/>
        <w:left w:val="none" w:sz="0" w:space="0" w:color="auto"/>
        <w:bottom w:val="none" w:sz="0" w:space="0" w:color="auto"/>
        <w:right w:val="none" w:sz="0" w:space="0" w:color="auto"/>
      </w:divBdr>
    </w:div>
    <w:div w:id="1767262856">
      <w:bodyDiv w:val="1"/>
      <w:marLeft w:val="0"/>
      <w:marRight w:val="0"/>
      <w:marTop w:val="0"/>
      <w:marBottom w:val="0"/>
      <w:divBdr>
        <w:top w:val="none" w:sz="0" w:space="0" w:color="auto"/>
        <w:left w:val="none" w:sz="0" w:space="0" w:color="auto"/>
        <w:bottom w:val="none" w:sz="0" w:space="0" w:color="auto"/>
        <w:right w:val="none" w:sz="0" w:space="0" w:color="auto"/>
      </w:divBdr>
    </w:div>
    <w:div w:id="1774590622">
      <w:bodyDiv w:val="1"/>
      <w:marLeft w:val="0"/>
      <w:marRight w:val="0"/>
      <w:marTop w:val="0"/>
      <w:marBottom w:val="0"/>
      <w:divBdr>
        <w:top w:val="none" w:sz="0" w:space="0" w:color="auto"/>
        <w:left w:val="none" w:sz="0" w:space="0" w:color="auto"/>
        <w:bottom w:val="none" w:sz="0" w:space="0" w:color="auto"/>
        <w:right w:val="none" w:sz="0" w:space="0" w:color="auto"/>
      </w:divBdr>
    </w:div>
    <w:div w:id="1790733272">
      <w:bodyDiv w:val="1"/>
      <w:marLeft w:val="0"/>
      <w:marRight w:val="0"/>
      <w:marTop w:val="0"/>
      <w:marBottom w:val="0"/>
      <w:divBdr>
        <w:top w:val="none" w:sz="0" w:space="0" w:color="auto"/>
        <w:left w:val="none" w:sz="0" w:space="0" w:color="auto"/>
        <w:bottom w:val="none" w:sz="0" w:space="0" w:color="auto"/>
        <w:right w:val="none" w:sz="0" w:space="0" w:color="auto"/>
      </w:divBdr>
    </w:div>
    <w:div w:id="1791973427">
      <w:bodyDiv w:val="1"/>
      <w:marLeft w:val="0"/>
      <w:marRight w:val="0"/>
      <w:marTop w:val="0"/>
      <w:marBottom w:val="0"/>
      <w:divBdr>
        <w:top w:val="none" w:sz="0" w:space="0" w:color="auto"/>
        <w:left w:val="none" w:sz="0" w:space="0" w:color="auto"/>
        <w:bottom w:val="none" w:sz="0" w:space="0" w:color="auto"/>
        <w:right w:val="none" w:sz="0" w:space="0" w:color="auto"/>
      </w:divBdr>
      <w:divsChild>
        <w:div w:id="1785807292">
          <w:marLeft w:val="0"/>
          <w:marRight w:val="0"/>
          <w:marTop w:val="0"/>
          <w:marBottom w:val="0"/>
          <w:divBdr>
            <w:top w:val="none" w:sz="0" w:space="0" w:color="auto"/>
            <w:left w:val="none" w:sz="0" w:space="0" w:color="auto"/>
            <w:bottom w:val="none" w:sz="0" w:space="0" w:color="auto"/>
            <w:right w:val="none" w:sz="0" w:space="0" w:color="auto"/>
          </w:divBdr>
        </w:div>
      </w:divsChild>
    </w:div>
    <w:div w:id="1793554402">
      <w:bodyDiv w:val="1"/>
      <w:marLeft w:val="0"/>
      <w:marRight w:val="0"/>
      <w:marTop w:val="0"/>
      <w:marBottom w:val="0"/>
      <w:divBdr>
        <w:top w:val="none" w:sz="0" w:space="0" w:color="auto"/>
        <w:left w:val="none" w:sz="0" w:space="0" w:color="auto"/>
        <w:bottom w:val="none" w:sz="0" w:space="0" w:color="auto"/>
        <w:right w:val="none" w:sz="0" w:space="0" w:color="auto"/>
      </w:divBdr>
    </w:div>
    <w:div w:id="1801727341">
      <w:bodyDiv w:val="1"/>
      <w:marLeft w:val="0"/>
      <w:marRight w:val="0"/>
      <w:marTop w:val="0"/>
      <w:marBottom w:val="0"/>
      <w:divBdr>
        <w:top w:val="none" w:sz="0" w:space="0" w:color="auto"/>
        <w:left w:val="none" w:sz="0" w:space="0" w:color="auto"/>
        <w:bottom w:val="none" w:sz="0" w:space="0" w:color="auto"/>
        <w:right w:val="none" w:sz="0" w:space="0" w:color="auto"/>
      </w:divBdr>
    </w:div>
    <w:div w:id="1809468243">
      <w:bodyDiv w:val="1"/>
      <w:marLeft w:val="0"/>
      <w:marRight w:val="0"/>
      <w:marTop w:val="0"/>
      <w:marBottom w:val="0"/>
      <w:divBdr>
        <w:top w:val="none" w:sz="0" w:space="0" w:color="auto"/>
        <w:left w:val="none" w:sz="0" w:space="0" w:color="auto"/>
        <w:bottom w:val="none" w:sz="0" w:space="0" w:color="auto"/>
        <w:right w:val="none" w:sz="0" w:space="0" w:color="auto"/>
      </w:divBdr>
      <w:divsChild>
        <w:div w:id="520556621">
          <w:marLeft w:val="0"/>
          <w:marRight w:val="0"/>
          <w:marTop w:val="0"/>
          <w:marBottom w:val="0"/>
          <w:divBdr>
            <w:top w:val="none" w:sz="0" w:space="0" w:color="auto"/>
            <w:left w:val="none" w:sz="0" w:space="0" w:color="auto"/>
            <w:bottom w:val="none" w:sz="0" w:space="0" w:color="auto"/>
            <w:right w:val="none" w:sz="0" w:space="0" w:color="auto"/>
          </w:divBdr>
        </w:div>
      </w:divsChild>
    </w:div>
    <w:div w:id="1814911185">
      <w:bodyDiv w:val="1"/>
      <w:marLeft w:val="0"/>
      <w:marRight w:val="0"/>
      <w:marTop w:val="0"/>
      <w:marBottom w:val="0"/>
      <w:divBdr>
        <w:top w:val="none" w:sz="0" w:space="0" w:color="auto"/>
        <w:left w:val="none" w:sz="0" w:space="0" w:color="auto"/>
        <w:bottom w:val="none" w:sz="0" w:space="0" w:color="auto"/>
        <w:right w:val="none" w:sz="0" w:space="0" w:color="auto"/>
      </w:divBdr>
    </w:div>
    <w:div w:id="1826896766">
      <w:bodyDiv w:val="1"/>
      <w:marLeft w:val="0"/>
      <w:marRight w:val="0"/>
      <w:marTop w:val="0"/>
      <w:marBottom w:val="0"/>
      <w:divBdr>
        <w:top w:val="none" w:sz="0" w:space="0" w:color="auto"/>
        <w:left w:val="none" w:sz="0" w:space="0" w:color="auto"/>
        <w:bottom w:val="none" w:sz="0" w:space="0" w:color="auto"/>
        <w:right w:val="none" w:sz="0" w:space="0" w:color="auto"/>
      </w:divBdr>
      <w:divsChild>
        <w:div w:id="625888214">
          <w:marLeft w:val="0"/>
          <w:marRight w:val="0"/>
          <w:marTop w:val="0"/>
          <w:marBottom w:val="0"/>
          <w:divBdr>
            <w:top w:val="none" w:sz="0" w:space="0" w:color="auto"/>
            <w:left w:val="none" w:sz="0" w:space="0" w:color="auto"/>
            <w:bottom w:val="none" w:sz="0" w:space="0" w:color="auto"/>
            <w:right w:val="none" w:sz="0" w:space="0" w:color="auto"/>
          </w:divBdr>
        </w:div>
      </w:divsChild>
    </w:div>
    <w:div w:id="1829709803">
      <w:bodyDiv w:val="1"/>
      <w:marLeft w:val="0"/>
      <w:marRight w:val="0"/>
      <w:marTop w:val="0"/>
      <w:marBottom w:val="0"/>
      <w:divBdr>
        <w:top w:val="none" w:sz="0" w:space="0" w:color="auto"/>
        <w:left w:val="none" w:sz="0" w:space="0" w:color="auto"/>
        <w:bottom w:val="none" w:sz="0" w:space="0" w:color="auto"/>
        <w:right w:val="none" w:sz="0" w:space="0" w:color="auto"/>
      </w:divBdr>
      <w:divsChild>
        <w:div w:id="1710494200">
          <w:marLeft w:val="0"/>
          <w:marRight w:val="0"/>
          <w:marTop w:val="0"/>
          <w:marBottom w:val="0"/>
          <w:divBdr>
            <w:top w:val="none" w:sz="0" w:space="0" w:color="auto"/>
            <w:left w:val="none" w:sz="0" w:space="0" w:color="auto"/>
            <w:bottom w:val="none" w:sz="0" w:space="0" w:color="auto"/>
            <w:right w:val="none" w:sz="0" w:space="0" w:color="auto"/>
          </w:divBdr>
        </w:div>
      </w:divsChild>
    </w:div>
    <w:div w:id="1846894441">
      <w:bodyDiv w:val="1"/>
      <w:marLeft w:val="0"/>
      <w:marRight w:val="0"/>
      <w:marTop w:val="0"/>
      <w:marBottom w:val="0"/>
      <w:divBdr>
        <w:top w:val="none" w:sz="0" w:space="0" w:color="auto"/>
        <w:left w:val="none" w:sz="0" w:space="0" w:color="auto"/>
        <w:bottom w:val="none" w:sz="0" w:space="0" w:color="auto"/>
        <w:right w:val="none" w:sz="0" w:space="0" w:color="auto"/>
      </w:divBdr>
    </w:div>
    <w:div w:id="1847132649">
      <w:bodyDiv w:val="1"/>
      <w:marLeft w:val="0"/>
      <w:marRight w:val="0"/>
      <w:marTop w:val="0"/>
      <w:marBottom w:val="0"/>
      <w:divBdr>
        <w:top w:val="none" w:sz="0" w:space="0" w:color="auto"/>
        <w:left w:val="none" w:sz="0" w:space="0" w:color="auto"/>
        <w:bottom w:val="none" w:sz="0" w:space="0" w:color="auto"/>
        <w:right w:val="none" w:sz="0" w:space="0" w:color="auto"/>
      </w:divBdr>
    </w:div>
    <w:div w:id="1860512209">
      <w:bodyDiv w:val="1"/>
      <w:marLeft w:val="0"/>
      <w:marRight w:val="0"/>
      <w:marTop w:val="0"/>
      <w:marBottom w:val="0"/>
      <w:divBdr>
        <w:top w:val="none" w:sz="0" w:space="0" w:color="auto"/>
        <w:left w:val="none" w:sz="0" w:space="0" w:color="auto"/>
        <w:bottom w:val="none" w:sz="0" w:space="0" w:color="auto"/>
        <w:right w:val="none" w:sz="0" w:space="0" w:color="auto"/>
      </w:divBdr>
    </w:div>
    <w:div w:id="1865315367">
      <w:bodyDiv w:val="1"/>
      <w:marLeft w:val="0"/>
      <w:marRight w:val="0"/>
      <w:marTop w:val="0"/>
      <w:marBottom w:val="0"/>
      <w:divBdr>
        <w:top w:val="none" w:sz="0" w:space="0" w:color="auto"/>
        <w:left w:val="none" w:sz="0" w:space="0" w:color="auto"/>
        <w:bottom w:val="none" w:sz="0" w:space="0" w:color="auto"/>
        <w:right w:val="none" w:sz="0" w:space="0" w:color="auto"/>
      </w:divBdr>
    </w:div>
    <w:div w:id="1868711021">
      <w:bodyDiv w:val="1"/>
      <w:marLeft w:val="0"/>
      <w:marRight w:val="0"/>
      <w:marTop w:val="0"/>
      <w:marBottom w:val="0"/>
      <w:divBdr>
        <w:top w:val="none" w:sz="0" w:space="0" w:color="auto"/>
        <w:left w:val="none" w:sz="0" w:space="0" w:color="auto"/>
        <w:bottom w:val="none" w:sz="0" w:space="0" w:color="auto"/>
        <w:right w:val="none" w:sz="0" w:space="0" w:color="auto"/>
      </w:divBdr>
    </w:div>
    <w:div w:id="1888833288">
      <w:bodyDiv w:val="1"/>
      <w:marLeft w:val="0"/>
      <w:marRight w:val="0"/>
      <w:marTop w:val="0"/>
      <w:marBottom w:val="0"/>
      <w:divBdr>
        <w:top w:val="none" w:sz="0" w:space="0" w:color="auto"/>
        <w:left w:val="none" w:sz="0" w:space="0" w:color="auto"/>
        <w:bottom w:val="none" w:sz="0" w:space="0" w:color="auto"/>
        <w:right w:val="none" w:sz="0" w:space="0" w:color="auto"/>
      </w:divBdr>
      <w:divsChild>
        <w:div w:id="417169223">
          <w:marLeft w:val="0"/>
          <w:marRight w:val="0"/>
          <w:marTop w:val="0"/>
          <w:marBottom w:val="0"/>
          <w:divBdr>
            <w:top w:val="none" w:sz="0" w:space="0" w:color="auto"/>
            <w:left w:val="none" w:sz="0" w:space="0" w:color="auto"/>
            <w:bottom w:val="none" w:sz="0" w:space="0" w:color="auto"/>
            <w:right w:val="none" w:sz="0" w:space="0" w:color="auto"/>
          </w:divBdr>
        </w:div>
      </w:divsChild>
    </w:div>
    <w:div w:id="1900549687">
      <w:bodyDiv w:val="1"/>
      <w:marLeft w:val="0"/>
      <w:marRight w:val="0"/>
      <w:marTop w:val="0"/>
      <w:marBottom w:val="0"/>
      <w:divBdr>
        <w:top w:val="none" w:sz="0" w:space="0" w:color="auto"/>
        <w:left w:val="none" w:sz="0" w:space="0" w:color="auto"/>
        <w:bottom w:val="none" w:sz="0" w:space="0" w:color="auto"/>
        <w:right w:val="none" w:sz="0" w:space="0" w:color="auto"/>
      </w:divBdr>
    </w:div>
    <w:div w:id="1904901471">
      <w:bodyDiv w:val="1"/>
      <w:marLeft w:val="0"/>
      <w:marRight w:val="0"/>
      <w:marTop w:val="0"/>
      <w:marBottom w:val="0"/>
      <w:divBdr>
        <w:top w:val="none" w:sz="0" w:space="0" w:color="auto"/>
        <w:left w:val="none" w:sz="0" w:space="0" w:color="auto"/>
        <w:bottom w:val="none" w:sz="0" w:space="0" w:color="auto"/>
        <w:right w:val="none" w:sz="0" w:space="0" w:color="auto"/>
      </w:divBdr>
    </w:div>
    <w:div w:id="1907521834">
      <w:bodyDiv w:val="1"/>
      <w:marLeft w:val="0"/>
      <w:marRight w:val="0"/>
      <w:marTop w:val="0"/>
      <w:marBottom w:val="0"/>
      <w:divBdr>
        <w:top w:val="none" w:sz="0" w:space="0" w:color="auto"/>
        <w:left w:val="none" w:sz="0" w:space="0" w:color="auto"/>
        <w:bottom w:val="none" w:sz="0" w:space="0" w:color="auto"/>
        <w:right w:val="none" w:sz="0" w:space="0" w:color="auto"/>
      </w:divBdr>
    </w:div>
    <w:div w:id="1910463056">
      <w:bodyDiv w:val="1"/>
      <w:marLeft w:val="0"/>
      <w:marRight w:val="0"/>
      <w:marTop w:val="0"/>
      <w:marBottom w:val="0"/>
      <w:divBdr>
        <w:top w:val="none" w:sz="0" w:space="0" w:color="auto"/>
        <w:left w:val="none" w:sz="0" w:space="0" w:color="auto"/>
        <w:bottom w:val="none" w:sz="0" w:space="0" w:color="auto"/>
        <w:right w:val="none" w:sz="0" w:space="0" w:color="auto"/>
      </w:divBdr>
      <w:divsChild>
        <w:div w:id="843208620">
          <w:marLeft w:val="0"/>
          <w:marRight w:val="0"/>
          <w:marTop w:val="0"/>
          <w:marBottom w:val="0"/>
          <w:divBdr>
            <w:top w:val="none" w:sz="0" w:space="0" w:color="auto"/>
            <w:left w:val="none" w:sz="0" w:space="0" w:color="auto"/>
            <w:bottom w:val="none" w:sz="0" w:space="0" w:color="auto"/>
            <w:right w:val="none" w:sz="0" w:space="0" w:color="auto"/>
          </w:divBdr>
        </w:div>
      </w:divsChild>
    </w:div>
    <w:div w:id="1932812967">
      <w:bodyDiv w:val="1"/>
      <w:marLeft w:val="0"/>
      <w:marRight w:val="0"/>
      <w:marTop w:val="0"/>
      <w:marBottom w:val="0"/>
      <w:divBdr>
        <w:top w:val="none" w:sz="0" w:space="0" w:color="auto"/>
        <w:left w:val="none" w:sz="0" w:space="0" w:color="auto"/>
        <w:bottom w:val="none" w:sz="0" w:space="0" w:color="auto"/>
        <w:right w:val="none" w:sz="0" w:space="0" w:color="auto"/>
      </w:divBdr>
    </w:div>
    <w:div w:id="1935087555">
      <w:bodyDiv w:val="1"/>
      <w:marLeft w:val="0"/>
      <w:marRight w:val="0"/>
      <w:marTop w:val="0"/>
      <w:marBottom w:val="0"/>
      <w:divBdr>
        <w:top w:val="none" w:sz="0" w:space="0" w:color="auto"/>
        <w:left w:val="none" w:sz="0" w:space="0" w:color="auto"/>
        <w:bottom w:val="none" w:sz="0" w:space="0" w:color="auto"/>
        <w:right w:val="none" w:sz="0" w:space="0" w:color="auto"/>
      </w:divBdr>
    </w:div>
    <w:div w:id="1962952080">
      <w:bodyDiv w:val="1"/>
      <w:marLeft w:val="0"/>
      <w:marRight w:val="0"/>
      <w:marTop w:val="0"/>
      <w:marBottom w:val="0"/>
      <w:divBdr>
        <w:top w:val="none" w:sz="0" w:space="0" w:color="auto"/>
        <w:left w:val="none" w:sz="0" w:space="0" w:color="auto"/>
        <w:bottom w:val="none" w:sz="0" w:space="0" w:color="auto"/>
        <w:right w:val="none" w:sz="0" w:space="0" w:color="auto"/>
      </w:divBdr>
      <w:divsChild>
        <w:div w:id="2064137997">
          <w:marLeft w:val="0"/>
          <w:marRight w:val="0"/>
          <w:marTop w:val="0"/>
          <w:marBottom w:val="0"/>
          <w:divBdr>
            <w:top w:val="none" w:sz="0" w:space="0" w:color="auto"/>
            <w:left w:val="none" w:sz="0" w:space="0" w:color="auto"/>
            <w:bottom w:val="none" w:sz="0" w:space="0" w:color="auto"/>
            <w:right w:val="none" w:sz="0" w:space="0" w:color="auto"/>
          </w:divBdr>
        </w:div>
      </w:divsChild>
    </w:div>
    <w:div w:id="1963733257">
      <w:bodyDiv w:val="1"/>
      <w:marLeft w:val="0"/>
      <w:marRight w:val="0"/>
      <w:marTop w:val="0"/>
      <w:marBottom w:val="0"/>
      <w:divBdr>
        <w:top w:val="none" w:sz="0" w:space="0" w:color="auto"/>
        <w:left w:val="none" w:sz="0" w:space="0" w:color="auto"/>
        <w:bottom w:val="none" w:sz="0" w:space="0" w:color="auto"/>
        <w:right w:val="none" w:sz="0" w:space="0" w:color="auto"/>
      </w:divBdr>
      <w:divsChild>
        <w:div w:id="846794299">
          <w:marLeft w:val="0"/>
          <w:marRight w:val="0"/>
          <w:marTop w:val="0"/>
          <w:marBottom w:val="0"/>
          <w:divBdr>
            <w:top w:val="none" w:sz="0" w:space="0" w:color="auto"/>
            <w:left w:val="none" w:sz="0" w:space="0" w:color="auto"/>
            <w:bottom w:val="none" w:sz="0" w:space="0" w:color="auto"/>
            <w:right w:val="none" w:sz="0" w:space="0" w:color="auto"/>
          </w:divBdr>
        </w:div>
      </w:divsChild>
    </w:div>
    <w:div w:id="1977177704">
      <w:bodyDiv w:val="1"/>
      <w:marLeft w:val="0"/>
      <w:marRight w:val="0"/>
      <w:marTop w:val="0"/>
      <w:marBottom w:val="0"/>
      <w:divBdr>
        <w:top w:val="none" w:sz="0" w:space="0" w:color="auto"/>
        <w:left w:val="none" w:sz="0" w:space="0" w:color="auto"/>
        <w:bottom w:val="none" w:sz="0" w:space="0" w:color="auto"/>
        <w:right w:val="none" w:sz="0" w:space="0" w:color="auto"/>
      </w:divBdr>
      <w:divsChild>
        <w:div w:id="1443720049">
          <w:marLeft w:val="0"/>
          <w:marRight w:val="0"/>
          <w:marTop w:val="0"/>
          <w:marBottom w:val="0"/>
          <w:divBdr>
            <w:top w:val="none" w:sz="0" w:space="0" w:color="auto"/>
            <w:left w:val="none" w:sz="0" w:space="0" w:color="auto"/>
            <w:bottom w:val="none" w:sz="0" w:space="0" w:color="auto"/>
            <w:right w:val="none" w:sz="0" w:space="0" w:color="auto"/>
          </w:divBdr>
        </w:div>
      </w:divsChild>
    </w:div>
    <w:div w:id="1983465109">
      <w:bodyDiv w:val="1"/>
      <w:marLeft w:val="0"/>
      <w:marRight w:val="0"/>
      <w:marTop w:val="0"/>
      <w:marBottom w:val="0"/>
      <w:divBdr>
        <w:top w:val="none" w:sz="0" w:space="0" w:color="auto"/>
        <w:left w:val="none" w:sz="0" w:space="0" w:color="auto"/>
        <w:bottom w:val="none" w:sz="0" w:space="0" w:color="auto"/>
        <w:right w:val="none" w:sz="0" w:space="0" w:color="auto"/>
      </w:divBdr>
    </w:div>
    <w:div w:id="1987128170">
      <w:bodyDiv w:val="1"/>
      <w:marLeft w:val="0"/>
      <w:marRight w:val="0"/>
      <w:marTop w:val="0"/>
      <w:marBottom w:val="0"/>
      <w:divBdr>
        <w:top w:val="none" w:sz="0" w:space="0" w:color="auto"/>
        <w:left w:val="none" w:sz="0" w:space="0" w:color="auto"/>
        <w:bottom w:val="none" w:sz="0" w:space="0" w:color="auto"/>
        <w:right w:val="none" w:sz="0" w:space="0" w:color="auto"/>
      </w:divBdr>
    </w:div>
    <w:div w:id="1994983381">
      <w:bodyDiv w:val="1"/>
      <w:marLeft w:val="0"/>
      <w:marRight w:val="0"/>
      <w:marTop w:val="0"/>
      <w:marBottom w:val="0"/>
      <w:divBdr>
        <w:top w:val="none" w:sz="0" w:space="0" w:color="auto"/>
        <w:left w:val="none" w:sz="0" w:space="0" w:color="auto"/>
        <w:bottom w:val="none" w:sz="0" w:space="0" w:color="auto"/>
        <w:right w:val="none" w:sz="0" w:space="0" w:color="auto"/>
      </w:divBdr>
    </w:div>
    <w:div w:id="2002392651">
      <w:bodyDiv w:val="1"/>
      <w:marLeft w:val="0"/>
      <w:marRight w:val="0"/>
      <w:marTop w:val="0"/>
      <w:marBottom w:val="0"/>
      <w:divBdr>
        <w:top w:val="none" w:sz="0" w:space="0" w:color="auto"/>
        <w:left w:val="none" w:sz="0" w:space="0" w:color="auto"/>
        <w:bottom w:val="none" w:sz="0" w:space="0" w:color="auto"/>
        <w:right w:val="none" w:sz="0" w:space="0" w:color="auto"/>
      </w:divBdr>
    </w:div>
    <w:div w:id="2002731623">
      <w:bodyDiv w:val="1"/>
      <w:marLeft w:val="0"/>
      <w:marRight w:val="0"/>
      <w:marTop w:val="0"/>
      <w:marBottom w:val="0"/>
      <w:divBdr>
        <w:top w:val="none" w:sz="0" w:space="0" w:color="auto"/>
        <w:left w:val="none" w:sz="0" w:space="0" w:color="auto"/>
        <w:bottom w:val="none" w:sz="0" w:space="0" w:color="auto"/>
        <w:right w:val="none" w:sz="0" w:space="0" w:color="auto"/>
      </w:divBdr>
      <w:divsChild>
        <w:div w:id="1392577880">
          <w:marLeft w:val="0"/>
          <w:marRight w:val="0"/>
          <w:marTop w:val="0"/>
          <w:marBottom w:val="0"/>
          <w:divBdr>
            <w:top w:val="none" w:sz="0" w:space="0" w:color="auto"/>
            <w:left w:val="none" w:sz="0" w:space="0" w:color="auto"/>
            <w:bottom w:val="none" w:sz="0" w:space="0" w:color="auto"/>
            <w:right w:val="none" w:sz="0" w:space="0" w:color="auto"/>
          </w:divBdr>
        </w:div>
      </w:divsChild>
    </w:div>
    <w:div w:id="2012221152">
      <w:bodyDiv w:val="1"/>
      <w:marLeft w:val="0"/>
      <w:marRight w:val="0"/>
      <w:marTop w:val="0"/>
      <w:marBottom w:val="0"/>
      <w:divBdr>
        <w:top w:val="none" w:sz="0" w:space="0" w:color="auto"/>
        <w:left w:val="none" w:sz="0" w:space="0" w:color="auto"/>
        <w:bottom w:val="none" w:sz="0" w:space="0" w:color="auto"/>
        <w:right w:val="none" w:sz="0" w:space="0" w:color="auto"/>
      </w:divBdr>
      <w:divsChild>
        <w:div w:id="577176796">
          <w:blockQuote w:val="1"/>
          <w:marLeft w:val="0"/>
          <w:marRight w:val="0"/>
          <w:marTop w:val="345"/>
          <w:marBottom w:val="210"/>
          <w:divBdr>
            <w:top w:val="none" w:sz="0" w:space="0" w:color="auto"/>
            <w:left w:val="none" w:sz="0" w:space="0" w:color="auto"/>
            <w:bottom w:val="none" w:sz="0" w:space="0" w:color="auto"/>
            <w:right w:val="none" w:sz="0" w:space="0" w:color="auto"/>
          </w:divBdr>
        </w:div>
      </w:divsChild>
    </w:div>
    <w:div w:id="2014911449">
      <w:bodyDiv w:val="1"/>
      <w:marLeft w:val="0"/>
      <w:marRight w:val="0"/>
      <w:marTop w:val="0"/>
      <w:marBottom w:val="0"/>
      <w:divBdr>
        <w:top w:val="none" w:sz="0" w:space="0" w:color="auto"/>
        <w:left w:val="none" w:sz="0" w:space="0" w:color="auto"/>
        <w:bottom w:val="none" w:sz="0" w:space="0" w:color="auto"/>
        <w:right w:val="none" w:sz="0" w:space="0" w:color="auto"/>
      </w:divBdr>
      <w:divsChild>
        <w:div w:id="1648054257">
          <w:marLeft w:val="0"/>
          <w:marRight w:val="0"/>
          <w:marTop w:val="0"/>
          <w:marBottom w:val="0"/>
          <w:divBdr>
            <w:top w:val="none" w:sz="0" w:space="0" w:color="auto"/>
            <w:left w:val="none" w:sz="0" w:space="0" w:color="auto"/>
            <w:bottom w:val="none" w:sz="0" w:space="0" w:color="auto"/>
            <w:right w:val="none" w:sz="0" w:space="0" w:color="auto"/>
          </w:divBdr>
        </w:div>
      </w:divsChild>
    </w:div>
    <w:div w:id="2023584822">
      <w:bodyDiv w:val="1"/>
      <w:marLeft w:val="0"/>
      <w:marRight w:val="0"/>
      <w:marTop w:val="0"/>
      <w:marBottom w:val="0"/>
      <w:divBdr>
        <w:top w:val="none" w:sz="0" w:space="0" w:color="auto"/>
        <w:left w:val="none" w:sz="0" w:space="0" w:color="auto"/>
        <w:bottom w:val="none" w:sz="0" w:space="0" w:color="auto"/>
        <w:right w:val="none" w:sz="0" w:space="0" w:color="auto"/>
      </w:divBdr>
      <w:divsChild>
        <w:div w:id="1845435924">
          <w:marLeft w:val="0"/>
          <w:marRight w:val="0"/>
          <w:marTop w:val="0"/>
          <w:marBottom w:val="0"/>
          <w:divBdr>
            <w:top w:val="none" w:sz="0" w:space="0" w:color="auto"/>
            <w:left w:val="none" w:sz="0" w:space="0" w:color="auto"/>
            <w:bottom w:val="none" w:sz="0" w:space="0" w:color="auto"/>
            <w:right w:val="none" w:sz="0" w:space="0" w:color="auto"/>
          </w:divBdr>
        </w:div>
      </w:divsChild>
    </w:div>
    <w:div w:id="2057662211">
      <w:bodyDiv w:val="1"/>
      <w:marLeft w:val="0"/>
      <w:marRight w:val="0"/>
      <w:marTop w:val="0"/>
      <w:marBottom w:val="0"/>
      <w:divBdr>
        <w:top w:val="none" w:sz="0" w:space="0" w:color="auto"/>
        <w:left w:val="none" w:sz="0" w:space="0" w:color="auto"/>
        <w:bottom w:val="none" w:sz="0" w:space="0" w:color="auto"/>
        <w:right w:val="none" w:sz="0" w:space="0" w:color="auto"/>
      </w:divBdr>
      <w:divsChild>
        <w:div w:id="1274941558">
          <w:marLeft w:val="0"/>
          <w:marRight w:val="0"/>
          <w:marTop w:val="0"/>
          <w:marBottom w:val="0"/>
          <w:divBdr>
            <w:top w:val="none" w:sz="0" w:space="0" w:color="auto"/>
            <w:left w:val="none" w:sz="0" w:space="0" w:color="auto"/>
            <w:bottom w:val="none" w:sz="0" w:space="0" w:color="auto"/>
            <w:right w:val="none" w:sz="0" w:space="0" w:color="auto"/>
          </w:divBdr>
        </w:div>
      </w:divsChild>
    </w:div>
    <w:div w:id="2061400050">
      <w:bodyDiv w:val="1"/>
      <w:marLeft w:val="0"/>
      <w:marRight w:val="0"/>
      <w:marTop w:val="0"/>
      <w:marBottom w:val="0"/>
      <w:divBdr>
        <w:top w:val="none" w:sz="0" w:space="0" w:color="auto"/>
        <w:left w:val="none" w:sz="0" w:space="0" w:color="auto"/>
        <w:bottom w:val="none" w:sz="0" w:space="0" w:color="auto"/>
        <w:right w:val="none" w:sz="0" w:space="0" w:color="auto"/>
      </w:divBdr>
      <w:divsChild>
        <w:div w:id="958531517">
          <w:marLeft w:val="0"/>
          <w:marRight w:val="0"/>
          <w:marTop w:val="0"/>
          <w:marBottom w:val="0"/>
          <w:divBdr>
            <w:top w:val="none" w:sz="0" w:space="0" w:color="auto"/>
            <w:left w:val="none" w:sz="0" w:space="0" w:color="auto"/>
            <w:bottom w:val="none" w:sz="0" w:space="0" w:color="auto"/>
            <w:right w:val="none" w:sz="0" w:space="0" w:color="auto"/>
          </w:divBdr>
        </w:div>
      </w:divsChild>
    </w:div>
    <w:div w:id="2087066024">
      <w:bodyDiv w:val="1"/>
      <w:marLeft w:val="0"/>
      <w:marRight w:val="0"/>
      <w:marTop w:val="0"/>
      <w:marBottom w:val="0"/>
      <w:divBdr>
        <w:top w:val="none" w:sz="0" w:space="0" w:color="auto"/>
        <w:left w:val="none" w:sz="0" w:space="0" w:color="auto"/>
        <w:bottom w:val="none" w:sz="0" w:space="0" w:color="auto"/>
        <w:right w:val="none" w:sz="0" w:space="0" w:color="auto"/>
      </w:divBdr>
      <w:divsChild>
        <w:div w:id="803277674">
          <w:marLeft w:val="0"/>
          <w:marRight w:val="0"/>
          <w:marTop w:val="0"/>
          <w:marBottom w:val="0"/>
          <w:divBdr>
            <w:top w:val="none" w:sz="0" w:space="0" w:color="auto"/>
            <w:left w:val="none" w:sz="0" w:space="0" w:color="auto"/>
            <w:bottom w:val="none" w:sz="0" w:space="0" w:color="auto"/>
            <w:right w:val="none" w:sz="0" w:space="0" w:color="auto"/>
          </w:divBdr>
        </w:div>
      </w:divsChild>
    </w:div>
    <w:div w:id="2101216924">
      <w:bodyDiv w:val="1"/>
      <w:marLeft w:val="0"/>
      <w:marRight w:val="0"/>
      <w:marTop w:val="0"/>
      <w:marBottom w:val="0"/>
      <w:divBdr>
        <w:top w:val="none" w:sz="0" w:space="0" w:color="auto"/>
        <w:left w:val="none" w:sz="0" w:space="0" w:color="auto"/>
        <w:bottom w:val="none" w:sz="0" w:space="0" w:color="auto"/>
        <w:right w:val="none" w:sz="0" w:space="0" w:color="auto"/>
      </w:divBdr>
      <w:divsChild>
        <w:div w:id="107240818">
          <w:marLeft w:val="0"/>
          <w:marRight w:val="0"/>
          <w:marTop w:val="0"/>
          <w:marBottom w:val="0"/>
          <w:divBdr>
            <w:top w:val="none" w:sz="0" w:space="0" w:color="auto"/>
            <w:left w:val="none" w:sz="0" w:space="0" w:color="auto"/>
            <w:bottom w:val="none" w:sz="0" w:space="0" w:color="auto"/>
            <w:right w:val="none" w:sz="0" w:space="0" w:color="auto"/>
          </w:divBdr>
        </w:div>
      </w:divsChild>
    </w:div>
    <w:div w:id="2107193573">
      <w:bodyDiv w:val="1"/>
      <w:marLeft w:val="0"/>
      <w:marRight w:val="0"/>
      <w:marTop w:val="0"/>
      <w:marBottom w:val="0"/>
      <w:divBdr>
        <w:top w:val="none" w:sz="0" w:space="0" w:color="auto"/>
        <w:left w:val="none" w:sz="0" w:space="0" w:color="auto"/>
        <w:bottom w:val="none" w:sz="0" w:space="0" w:color="auto"/>
        <w:right w:val="none" w:sz="0" w:space="0" w:color="auto"/>
      </w:divBdr>
    </w:div>
    <w:div w:id="2121290589">
      <w:bodyDiv w:val="1"/>
      <w:marLeft w:val="0"/>
      <w:marRight w:val="0"/>
      <w:marTop w:val="0"/>
      <w:marBottom w:val="0"/>
      <w:divBdr>
        <w:top w:val="none" w:sz="0" w:space="0" w:color="auto"/>
        <w:left w:val="none" w:sz="0" w:space="0" w:color="auto"/>
        <w:bottom w:val="none" w:sz="0" w:space="0" w:color="auto"/>
        <w:right w:val="none" w:sz="0" w:space="0" w:color="auto"/>
      </w:divBdr>
    </w:div>
    <w:div w:id="2128353523">
      <w:bodyDiv w:val="1"/>
      <w:marLeft w:val="0"/>
      <w:marRight w:val="0"/>
      <w:marTop w:val="0"/>
      <w:marBottom w:val="0"/>
      <w:divBdr>
        <w:top w:val="none" w:sz="0" w:space="0" w:color="auto"/>
        <w:left w:val="none" w:sz="0" w:space="0" w:color="auto"/>
        <w:bottom w:val="none" w:sz="0" w:space="0" w:color="auto"/>
        <w:right w:val="none" w:sz="0" w:space="0" w:color="auto"/>
      </w:divBdr>
    </w:div>
    <w:div w:id="2134015597">
      <w:bodyDiv w:val="1"/>
      <w:marLeft w:val="0"/>
      <w:marRight w:val="0"/>
      <w:marTop w:val="0"/>
      <w:marBottom w:val="0"/>
      <w:divBdr>
        <w:top w:val="none" w:sz="0" w:space="0" w:color="auto"/>
        <w:left w:val="none" w:sz="0" w:space="0" w:color="auto"/>
        <w:bottom w:val="none" w:sz="0" w:space="0" w:color="auto"/>
        <w:right w:val="none" w:sz="0" w:space="0" w:color="auto"/>
      </w:divBdr>
    </w:div>
    <w:div w:id="2146114587">
      <w:bodyDiv w:val="1"/>
      <w:marLeft w:val="0"/>
      <w:marRight w:val="0"/>
      <w:marTop w:val="0"/>
      <w:marBottom w:val="0"/>
      <w:divBdr>
        <w:top w:val="none" w:sz="0" w:space="0" w:color="auto"/>
        <w:left w:val="none" w:sz="0" w:space="0" w:color="auto"/>
        <w:bottom w:val="none" w:sz="0" w:space="0" w:color="auto"/>
        <w:right w:val="none" w:sz="0" w:space="0" w:color="auto"/>
      </w:divBdr>
      <w:divsChild>
        <w:div w:id="317613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ta.info/tudo-sobre/ANP" TargetMode="External"/><Relationship Id="rId3" Type="http://schemas.openxmlformats.org/officeDocument/2006/relationships/settings" Target="settings.xml"/><Relationship Id="rId7" Type="http://schemas.openxmlformats.org/officeDocument/2006/relationships/hyperlink" Target="https://www.planalto.gov.br/ccivil_03/_ato2019-2022/2021/lei/l14134.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jota.info/tudo-sobre/MPRJ" TargetMode="External"/><Relationship Id="rId11" Type="http://schemas.openxmlformats.org/officeDocument/2006/relationships/theme" Target="theme/theme1.xml"/><Relationship Id="rId5" Type="http://schemas.openxmlformats.org/officeDocument/2006/relationships/hyperlink" Target="https://portal.stf.jus.br/processos/detalhe.asp?incidente=732549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jota.info/tudo-sobre/supremo-tribunal-federa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602</TotalTime>
  <Pages>76</Pages>
  <Words>61964</Words>
  <Characters>334611</Characters>
  <Application>Microsoft Office Word</Application>
  <DocSecurity>0</DocSecurity>
  <Lines>2788</Lines>
  <Paragraphs>791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Itiberê Rodrigues</dc:creator>
  <cp:keywords/>
  <dc:description/>
  <cp:lastModifiedBy>Itiberê Rodrigues</cp:lastModifiedBy>
  <cp:revision>228</cp:revision>
  <dcterms:created xsi:type="dcterms:W3CDTF">2025-01-24T19:08:00Z</dcterms:created>
  <dcterms:modified xsi:type="dcterms:W3CDTF">2026-01-02T01:56:00Z</dcterms:modified>
</cp:coreProperties>
</file>