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/>
      </w:pPr>
      <w:r>
        <w:rPr/>
        <w:drawing>
          <wp:inline distT="0" distB="0" distL="0" distR="0">
            <wp:extent cx="1987550" cy="3524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004" r="0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Música - Ciências Musicais</w:t>
      </w:r>
    </w:p>
    <w:p>
      <w:pPr>
        <w:pStyle w:val="LO-normal"/>
        <w:jc w:val="center"/>
        <w:rPr>
          <w:b/>
        </w:rPr>
      </w:pPr>
      <w:r>
        <w:rPr>
          <w:b/>
        </w:rPr>
      </w:r>
    </w:p>
    <w:p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Integralização do Curso</w:t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rPr>
          <w:b/>
        </w:rPr>
      </w:pPr>
      <w:r>
        <w:rPr>
          <w:b/>
        </w:rPr>
      </w:r>
    </w:p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4"/>
          <w:szCs w:val="24"/>
          <w:u w:val="none"/>
        </w:rPr>
      </w:pPr>
      <w:r>
        <w:rPr>
          <w:b/>
          <w:sz w:val="24"/>
          <w:szCs w:val="24"/>
        </w:rPr>
        <w:t>Nome do(a) Aluno(a) e Nº de Matrícula:</w:t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6"/>
          <w:szCs w:val="26"/>
        </w:rPr>
      </w:pPr>
      <w:r>
        <w:rPr>
          <w:b/>
          <w:color w:val="000000"/>
          <w:sz w:val="24"/>
          <w:szCs w:val="24"/>
        </w:rPr>
        <w:t>Na coluna mais à direita, assinale todas as disciplinas integralizadas.</w:t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rFonts w:ascii="Calibri" w:hAnsi="Calibri" w:eastAsia="Calibri" w:cs="Calibri"/>
          <w:b/>
        </w:rPr>
      </w:pPr>
      <w:r>
        <w:rPr>
          <w:b/>
          <w:sz w:val="28"/>
          <w:szCs w:val="28"/>
        </w:rPr>
        <w:t>Disciplinas Obrigatórias</w:t>
      </w:r>
    </w:p>
    <w:p>
      <w:pPr>
        <w:pStyle w:val="Heading4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240" w:before="200" w:after="0"/>
        <w:ind w:right="75" w:hanging="0"/>
        <w:rPr>
          <w:b/>
          <w:color w:val="000000"/>
        </w:rPr>
      </w:pPr>
      <w:r>
        <w:rPr>
          <w:b/>
          <w:color w:val="000000"/>
        </w:rPr>
      </w:r>
      <w:bookmarkStart w:id="0" w:name="_95kth1m8k8aq"/>
      <w:bookmarkStart w:id="1" w:name="_95kth1m8k8aq"/>
      <w:bookmarkEnd w:id="1"/>
    </w:p>
    <w:tbl>
      <w:tblPr>
        <w:tblStyle w:val="Table1"/>
        <w:tblW w:w="138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10"/>
        <w:gridCol w:w="1604"/>
        <w:gridCol w:w="3523"/>
        <w:gridCol w:w="1351"/>
        <w:gridCol w:w="1486"/>
        <w:gridCol w:w="1755"/>
      </w:tblGrid>
      <w:tr>
        <w:trPr>
          <w:tblHeader w:val="true"/>
          <w:trHeight w:val="330" w:hRule="atLeast"/>
        </w:trPr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B8AF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76" w:before="60" w:after="6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Currículo Antigo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B8AF" w:val="clear"/>
            <w:vAlign w:val="cente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Currículo Novo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B8AF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-284" w:hanging="0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B8AF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right="-284" w:hanging="0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Equivalência Digital*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B8AF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-284" w:hanging="0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Integralização</w:t>
            </w:r>
          </w:p>
        </w:tc>
      </w:tr>
      <w:tr>
        <w:trPr>
          <w:tblHeader w:val="true"/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NOME DO COMPONENTE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-284" w:hanging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CÓDIGO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NOME DO COMPONENTE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-284" w:hanging="0"/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CÓDIGO</w:t>
            </w:r>
          </w:p>
        </w:tc>
        <w:tc>
          <w:tcPr>
            <w:tcW w:w="1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-284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-284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Contraponto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05000365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Contraponto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05001734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Estética Musical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05000657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Estética Musical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- Culturas Musicais do Mundo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05000549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- Introdução e Métodos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Brasileira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Latinoamericana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Etnomusicologia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Harmonia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Harmonia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05001480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Harmonia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Harmonia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05001486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Harmonia 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Harmonia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05001492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05000606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05001465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05000635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05001472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05000636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76" w:before="60" w:after="20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05001479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76" w:before="60" w:after="20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IV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05000638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05001485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Brasileira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05000668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Brasileira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05001491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Brasileira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05000508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História da Música Brasileira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05001497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I**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Canto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05001545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Flauta Transversal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05001549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Violão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Violino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05001562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Saxofone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05001598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II**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Canto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05001546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Flauta Transversal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Violão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Violino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05001561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Saxofone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05001599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III**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Canto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05001547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Flauta Transversal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Violão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Saxofone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05001600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IV**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Canto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05001548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Flauta Transversal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Violão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05001560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Saxofone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05001601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0"/>
              <w:ind w:left="0"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V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Não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VI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VI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Não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VII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05000559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VII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Não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VIII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05000560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Complementar - Piano VIII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05001556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Não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Laboratório Coral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05000213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Laboratório Coral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05001468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Música e Sociedade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05000459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Música e Sociedade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05001466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05001727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05001728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IV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05000547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Musicologia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05001729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Práticas de Pesquisa em Ciências Musicais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Práticas de Pesquisa em Ciências Musicais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05001842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Práticas de Pesquisa em Ciências Musicais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Práticas de Pesquisa em Ciências Musicais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05001843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Práticas de Pesquisa em Ciências Musicais 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05000558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Práticas de Pesquisa em Ciências Musicais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05001844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Processos e Estruturas de Análise Musical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05000377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Análise Musical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Processos e Estruturas de Análise Musical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05000382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Análise Musical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05001496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Processos e Estruturas de Análise Musical 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05000518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Análise Musical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Processos e Estruturas de Análise Musical IV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05000520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Análise Musical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Produção Cultural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+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Projeto Especial em Música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05000572***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+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05000453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Produção Cultural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05001481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Projeto de Pesquisa em Música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05000385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Metodologia Científica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05001467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Projeto de Pesquisa em Música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05000391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Projeto de Pesquisa em Música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05001502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 e Percepção Auditiva 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05000140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Musical, Percepção e Solfejo 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05001464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 e Percepção Auditiva 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05000168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Musical, Percepção e Solfejo 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05001471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 e Percepção Auditiva 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88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05000174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Musical, Percepção e Solfejo III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05001478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 e Percepção Auditiva IV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05000156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Teoria Musical, Percepção e Solfejo IV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05001484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0" w:after="20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</w:tbl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sz w:val="20"/>
          <w:szCs w:val="20"/>
        </w:rPr>
      </w:pPr>
      <w:r>
        <w:rPr>
          <w:sz w:val="20"/>
          <w:szCs w:val="20"/>
        </w:rPr>
        <w:t>* Equivalência automatizada via Cobalto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** Equivalências de Instrumento Complementar I - IV não são cumulativas. O aluno deve indicar uma das opções de disciplina para computar como obrigatória. 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sz w:val="20"/>
          <w:szCs w:val="20"/>
        </w:rPr>
        <w:t xml:space="preserve">*** </w:t>
      </w:r>
      <w:r>
        <w:rPr>
          <w:i/>
          <w:iCs/>
          <w:sz w:val="20"/>
          <w:szCs w:val="20"/>
        </w:rPr>
        <w:t>Produção Cultural</w:t>
      </w:r>
      <w:r>
        <w:rPr>
          <w:sz w:val="20"/>
          <w:szCs w:val="20"/>
        </w:rPr>
        <w:t xml:space="preserve">, na grade de disciplinas antigas do curso ‘Música - Ciências Musicais’, possui o código 05000660. A codificação da tabela exige Matrícula Especial. </w:t>
      </w:r>
      <w:r>
        <w:rPr>
          <w:b/>
          <w:sz w:val="28"/>
          <w:szCs w:val="28"/>
        </w:rPr>
        <w:t xml:space="preserve"> 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Trabalho de Conclusão de Curso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2"/>
        <w:tblW w:w="12573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42"/>
        <w:gridCol w:w="1175"/>
        <w:gridCol w:w="2667"/>
        <w:gridCol w:w="1128"/>
        <w:gridCol w:w="1974"/>
        <w:gridCol w:w="1986"/>
      </w:tblGrid>
      <w:tr>
        <w:trPr/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Antigo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Novo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Equivalência Digital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Versão final entregue</w:t>
            </w:r>
          </w:p>
        </w:tc>
      </w:tr>
      <w:tr>
        <w:trPr/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Orientação Trab Conclusão Curso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– Ciências Musicais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05001845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Disciplinas Optativas 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Mínimo de 2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créditos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3"/>
        <w:tblW w:w="1530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10"/>
        <w:gridCol w:w="1440"/>
        <w:gridCol w:w="6195"/>
        <w:gridCol w:w="1365"/>
        <w:gridCol w:w="1290"/>
      </w:tblGrid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do curso de origem (Música – C</w:t>
            </w:r>
            <w:r>
              <w:rPr>
                <w:b/>
                <w:sz w:val="20"/>
                <w:szCs w:val="20"/>
              </w:rPr>
              <w:t>iências Musicais</w:t>
            </w:r>
            <w:r>
              <w:rPr>
                <w:b/>
                <w:sz w:val="20"/>
                <w:szCs w:val="20"/>
              </w:rPr>
              <w:t>) integralizada ou incorporada ao histórico via aproveitamento de estudos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para Aproveitamento de Estudos ou integralizada via Matrícula Especial (caso em que as duas colunas à esquerda não são preenchidas)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Créditos</w:t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4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do Número de créditos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  <w:t>* Insira mais linhas se necessário.</w:t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-normal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Versão de janeiro de 2024</w:t>
      </w:r>
    </w:p>
    <w:sectPr>
      <w:headerReference w:type="default" r:id="rId3"/>
      <w:footerReference w:type="default" r:id="rId4"/>
      <w:type w:val="nextPage"/>
      <w:pgSz w:orient="landscape" w:w="16838" w:h="11906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LibreOffice/7.5.9.2$MacOSX_X86_64 LibreOffice_project/cdeefe45c17511d326101eed8008ac4092f278a9</Application>
  <AppVersion>15.0000</AppVersion>
  <Pages>6</Pages>
  <Words>771</Words>
  <Characters>4724</Characters>
  <CharactersWithSpaces>5209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Germano Mayer</cp:lastModifiedBy>
  <dcterms:modified xsi:type="dcterms:W3CDTF">2024-01-30T13:54:25Z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