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8223DA" w:rsidRPr="008223DA">
                  <w:rPr>
                    <w:rStyle w:val="TtuloChar"/>
                  </w:rPr>
                  <w:t>MANEJO E CONSERVAÇÃO DO SOLO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6E16AF" w:rsidRPr="006E16AF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8223D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23DA">
              <w:t>10</w:t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21B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8223DA" w:rsidRPr="008223DA">
                  <w:rPr>
                    <w:rStyle w:val="Rogers2Char"/>
                  </w:rPr>
                  <w:t>Departamento de Solos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8223D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23DA">
              <w:rPr>
                <w:noProof/>
              </w:rPr>
              <w:t>023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8223DA" w:rsidRPr="008223DA">
                  <w:rPr>
                    <w:rStyle w:val="Rogers2Char"/>
                  </w:rPr>
                  <w:t>Flavia Fontana Fernandes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8223DA" w:rsidRPr="008223DA">
                  <w:rPr>
                    <w:rFonts w:ascii="Arial" w:hAnsi="Arial" w:cs="Arial"/>
                    <w:sz w:val="24"/>
                  </w:rPr>
                  <w:t>Fertilidade do Solo;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21B8D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8223DA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Ao final da disciplina o aluno deverá reconhecer a importância do uso adequado do solo e demonstrar conhecimento sobre as suas práticas de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conservação.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Compreender as causas da degradação da capacidade produtiva do solo;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Conhecer as consequências do manejo inadequado das terras agrícolas;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Conhecer os princípios do manejo e conservação do solo;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Conhecer os princípios básicos para a agricultura sustentável;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Indicar o manejo mais adequado para as diferentes explorações agropecuárias;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Indicar as práticas conservacionistas adequadas aos diferentes níveis de manejo das propriedades agrícolas;</w:t>
                </w:r>
              </w:p>
              <w:p w:rsidR="003D346E" w:rsidRPr="00072857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Definir estratégias de manejo para a recuperação de diferentes áreas degradadas e situações de uso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futuro.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Sustentabilidade agrícola e qualidade do solo e do ambiente.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Formas de degradação da capacidade produtiva do solo e sua recuperação;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Classificação de Capacidade de Uso das Terras Agrícolas;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Manejo e conservação do solo em diferentes sistemas de cultivo e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diferente regiões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 do país;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Rotação de culturas e plantas de cobertura;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Manejo de fertilidade do solo em sistemas conservacionistas;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Manejo de solos de várzea;</w:t>
                </w:r>
              </w:p>
              <w:p w:rsidR="003D346E" w:rsidRPr="00B60DE3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Manejo de Zonas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Riparias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1.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Sustentabilidade agrícola e qualidade do solo e do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ambiente</w:t>
                </w:r>
                <w:proofErr w:type="gramEnd"/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2.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Degradação da Capacidade Produtiva do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Solo</w:t>
                </w:r>
                <w:proofErr w:type="gramEnd"/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2.1.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>Erosão do Solo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2.2.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>Práticas Conservacionistas do Solo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2.3.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>Degradação de Atributos Físicos do Solo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2.4.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>Degradação de Atributos Químicos e Biológicos do Solo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3.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Sistemas de Preparo de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Solo</w:t>
                </w:r>
                <w:proofErr w:type="gramEnd"/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3.1.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>Tipos de Sistemas de Preparo de Solo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3.2.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>Manejo da Fertilidade do Solo nos Sistemas de Preparo de Solo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4.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Manejo de Solos de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Várzea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5.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Plantas de Cobertura do Solo, Rotação de Culturas no Contexto do Manejo de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Solos</w:t>
                </w:r>
                <w:proofErr w:type="gramEnd"/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6.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Manejo de solo visando o </w:t>
                </w:r>
                <w:proofErr w:type="spell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seqüestro</w:t>
                </w:r>
                <w:proofErr w:type="spell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 de carbono e ciclagem de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nutrientes</w:t>
                </w:r>
                <w:proofErr w:type="gramEnd"/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7.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Manejo de Solos em outras regiões do país. Mudança de uso das terras 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8.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Manejo de Zonas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Ripárias</w:t>
                </w:r>
                <w:proofErr w:type="gramEnd"/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9.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Projeto de Planejamento e Avaliação de Unidade de Produção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Familiar</w:t>
                </w:r>
                <w:proofErr w:type="gramEnd"/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9.1.</w:t>
                </w:r>
                <w:r w:rsidRPr="008223DA">
                  <w:rPr>
                    <w:rFonts w:ascii="Arial" w:hAnsi="Arial" w:cs="Arial"/>
                    <w:sz w:val="20"/>
                    <w:szCs w:val="20"/>
                  </w:rPr>
                  <w:tab/>
                  <w:t>Levantamento do Meio Físico para fins de classificação de Capacidade de Uso das Terras</w:t>
                </w:r>
              </w:p>
              <w:p w:rsidR="003D346E" w:rsidRPr="00072857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9.2.     Projeto Conservacionista - Atividades de campo e de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escritório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PRADO, R. B.; TURETTA, A. P.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; ANDRADE, A. G. de (Org.) Manejo e Conservação do Solo e da Água no Contexto das Mudanças Ambientais. EMBRAPA – SOLOS, Rio de Janeiro, 2010, 486 p. 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http://ainfo.cnptia.embrapa.br/digital/bitstream/item/34008/1/livro-manejo.pdf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8223DA" w:rsidRPr="008223DA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Nyle</w:t>
                </w:r>
                <w:proofErr w:type="spell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 C. Brady, Ray R. </w:t>
                </w:r>
                <w:proofErr w:type="spell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Weil</w:t>
                </w:r>
                <w:proofErr w:type="spell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. Elementos da Natureza e Propriedades dos Solos, </w:t>
                </w:r>
                <w:proofErr w:type="spell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Bookman</w:t>
                </w:r>
                <w:proofErr w:type="spell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 Companhia Editora Ltda., 716 p., 2013.</w:t>
                </w:r>
              </w:p>
              <w:p w:rsidR="003D346E" w:rsidRPr="001409AC" w:rsidRDefault="008223DA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>BERTONI, J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.,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 LOMBARDI NETO, F.  Conservação do Solo. Ed. Ícone,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8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.ed., 2010.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360p.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8223DA" w:rsidRPr="008223DA" w:rsidRDefault="008223DA" w:rsidP="008223D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CASALINHO, H.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; LIMA, A. C. R.; AUDEH, S. J. S.; SUZUKI, L. E. A.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S.;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CARDOSO, I. M.; Monitoramento da qualidade do solo em </w:t>
                </w:r>
                <w:proofErr w:type="spell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agroecossistemas</w:t>
                </w:r>
                <w:proofErr w:type="spell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 de base familiar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–  a percepção do agricultor.  Ed.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Universitária  da UFPEL, 2011, 67p.</w:t>
                </w:r>
              </w:p>
              <w:p w:rsidR="008223DA" w:rsidRPr="008223DA" w:rsidRDefault="008223DA" w:rsidP="008223D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SOCIEDADE BRASILEIRA DE CIÊNCIA DO SOLO. COMISSÃO DE QUÍMICA E FERTILIDADE DO SOLO. Manual de adubação e calagem para os Estados do Rio Grande do Sul e Santa Catarina. 10ª ed. Porto Alegre, 2004. 400 p. il. - Versão online disponível em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http://www.sbcs-nrs.org.br/index.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php?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secao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=publicacoes</w:t>
                </w:r>
              </w:p>
              <w:p w:rsidR="003D346E" w:rsidRPr="00072857" w:rsidRDefault="008223DA" w:rsidP="008223D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LEPSCH, I. F.; BELLINAZZI Jr., R.; BERTOLINI,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; ESPÍNDOLA, C. R. Manual para levantamento utilitário do meio físico e classificação de terras no sistema de capacidade de uso. 4a Aproximação. 2. </w:t>
                </w:r>
                <w:proofErr w:type="gramStart"/>
                <w:r w:rsidRPr="008223DA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8223DA">
                  <w:rPr>
                    <w:rFonts w:ascii="Arial" w:hAnsi="Arial" w:cs="Arial"/>
                    <w:sz w:val="20"/>
                    <w:szCs w:val="20"/>
                  </w:rPr>
                  <w:t xml:space="preserve"> Campinas: Sociedade Brasileira de Ciência do Solo, 1991.175p.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1B" w:rsidRDefault="009C321B">
      <w:r>
        <w:separator/>
      </w:r>
    </w:p>
  </w:endnote>
  <w:endnote w:type="continuationSeparator" w:id="0">
    <w:p w:rsidR="009C321B" w:rsidRDefault="009C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1B" w:rsidRDefault="009C321B">
      <w:r>
        <w:separator/>
      </w:r>
    </w:p>
  </w:footnote>
  <w:footnote w:type="continuationSeparator" w:id="0">
    <w:p w:rsidR="009C321B" w:rsidRDefault="009C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33E4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2FF8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2B65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A3F06"/>
    <w:rsid w:val="006B20ED"/>
    <w:rsid w:val="006B2CED"/>
    <w:rsid w:val="006B6F3B"/>
    <w:rsid w:val="006C5131"/>
    <w:rsid w:val="006D7F5D"/>
    <w:rsid w:val="006E0AEB"/>
    <w:rsid w:val="006E16AF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1B8D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223DA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C321B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4DE3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17C2"/>
    <w:rsid w:val="00BF3542"/>
    <w:rsid w:val="00BF7821"/>
    <w:rsid w:val="00C07B25"/>
    <w:rsid w:val="00C10E3B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4EF2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5179F0"/>
    <w:rsid w:val="00765C46"/>
    <w:rsid w:val="00794E05"/>
    <w:rsid w:val="009C5DA2"/>
    <w:rsid w:val="00A02A59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79E7-6C79-449E-B213-BA9121E0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2016-06-15T17:00:00Z</dcterms:created>
  <dcterms:modified xsi:type="dcterms:W3CDTF">2016-06-15T17:02:00Z</dcterms:modified>
</cp:coreProperties>
</file>