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860DB5" w:rsidRPr="00860DB5">
                  <w:rPr>
                    <w:rStyle w:val="TtuloChar"/>
                  </w:rPr>
                  <w:t>IRRIGAÇÃO E DRENAGEM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60DB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100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5C493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60DB5" w:rsidRPr="00860DB5">
                  <w:rPr>
                    <w:rStyle w:val="Rogers2Char"/>
                  </w:rPr>
                  <w:t>Departamento de Engenharia Rural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860DB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0DB5">
              <w:rPr>
                <w:noProof/>
              </w:rPr>
              <w:t>19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860DB5" w:rsidRPr="00860DB5">
                  <w:rPr>
                    <w:rStyle w:val="Rogers2Char"/>
                  </w:rPr>
                  <w:t>Vitor Emanuel Quevedo Tavares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860DB5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860DB5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860DB5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860DB5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A1970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860DB5" w:rsidRPr="00860DB5">
                  <w:rPr>
                    <w:rFonts w:ascii="Arial" w:hAnsi="Arial" w:cs="Arial"/>
                    <w:sz w:val="24"/>
                  </w:rPr>
                  <w:t>Estatística Básica, Física do Solo, Agrometeorologia, Hidráulica</w:t>
                </w:r>
                <w:r w:rsidR="00860DB5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6A1970">
                  <w:rPr>
                    <w:rStyle w:val="Rogers2Char"/>
                  </w:rPr>
                  <w:t>3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2C16EE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60DB5" w:rsidP="00136B4F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Fornecer ao aluno os subsídios necessários para que, no exercício da profissão, possa realizar uma análise criteriosa dos problemas de irrigação e drenagem, capacitando-o a indicar um conjunto de soluções tecnicamente viáveis, nas quais sejam considerados os aspectos econômicos, sociais e ambientais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envolvidos.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Propiciar a troca de informações entre professores e alunos, visando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formação de profissionais com sólida formação científica e profissional geral, capazes de absorver e desenvolver tecnologias para manejo da água no meio rural.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Ao final da disciplina, espera-se que o aluno seja capaz de: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conhecer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e compreender os sistemas de irrigação e drenagem e dimensioná-los com eficiência técnica e econômica;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planejar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, supervisionar, elaborar e coordenar projetos e serviços relacionados com o uso da irrigação e drenagem;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identificar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problemas e propor soluções para o manejo da água no meio rural;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desenvolver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e utilizar novas tecnologias;</w:t>
                </w:r>
              </w:p>
              <w:p w:rsidR="003D346E" w:rsidRPr="00072857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gerenciar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, operar e manter sistemas de irrigação e drenagem.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860DB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Introdução ao estudo da irrigação. Demanda de água dos projetos. Planejamento da irrigação. Sistemas de irrigação. Irrigação por gravidade. Irrigação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sob pressão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. Manejo da água para irrigação. Introdução ao estudo da drenagem. Métodos de drenagem. Drenagem superficial. Noções de drenagem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subterrânea.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O Contexto da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Importância e definição da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Clima e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Relação entre a irrigação e a drenagem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A irrigação no Brasil e no mundo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Vantagens e desvantagens da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Demanda de Água para a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Determinação da água requerida pela cultura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Evapotranspiração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Balanço Hídrico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Oportunidade da Irrigação e Quantidade de Água a Aplicar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Capacidade de armazenagem da água no solo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Eficiência do uso da água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Programação de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Vazão requerida num projeto de irrigação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por Gravidade. Métodos de Superfície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Determinação da infiltração de água no solo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por sulcos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por inundação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por faixas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Pressurizada. Métodos sob Pressão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por aspersão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Irrigação localizada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O Contexto da Drenagem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Importância e definição da drenagem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Efeitos do excesso de água sobre as plantas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Problemas de drenagem e origens do excesso de água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Planejamento da Drenagem - Diagnóstico do Problema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Critérios de drenagem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Sistemas de Drenagem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Drenagem Superficial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Tipos de drenos superficiais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Determinação da Vazão de projeto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Normas práticas de projeto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Dimensionamento dos drenos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Drenagem Subterrânea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Fluxo de água aos drenos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Espaçamento e delineamento de drenos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Materiais usados na drenagem</w:t>
                </w:r>
              </w:p>
              <w:p w:rsidR="003D346E" w:rsidRPr="00072857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Normas práticas para proteger um sistema de drenagem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BERNARDO, S; SOARES, A. A. Manual de irrigação.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ed. atual. </w:t>
                </w:r>
                <w:proofErr w:type="spellStart"/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ampl</w:t>
                </w:r>
                <w:proofErr w:type="spellEnd"/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. Viçosa: Ed. UFV, 2009. 625 p.</w:t>
                </w:r>
              </w:p>
              <w:p w:rsidR="00860DB5" w:rsidRPr="00860DB5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BRANDÃO, V. S. Infiltração da água no solo.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ed. Viçosa: Ed. UFV, 2009. 120 p.</w:t>
                </w:r>
              </w:p>
              <w:p w:rsidR="003D346E" w:rsidRPr="001409AC" w:rsidRDefault="00860DB5" w:rsidP="00860DB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KLAR, A. E. Irrigação: frequência e quantidade de aplicação. São Paulo: Nobel, 1991. 156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860DB5" w:rsidRPr="00860DB5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CARVALHO, J. A.; OLIVEIRA, L. F. C. Instalações de bombeamento para irrigação: hidráulica e consumo de energia. Lavras, MG: Ed. UFLA, 2008. 353 p.</w:t>
                </w:r>
              </w:p>
              <w:p w:rsidR="00860DB5" w:rsidRPr="00860DB5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CAUDURO, F. A.; DORFMAN, R. Manual de ensaios de laboratório e de campo para irrigação e drenagem. Porto Alegre: PRONI/ IPH-UFRGS, </w:t>
                </w:r>
                <w:proofErr w:type="spell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sd</w:t>
                </w:r>
                <w:proofErr w:type="spell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. 216 p.</w:t>
                </w:r>
              </w:p>
              <w:p w:rsidR="00860DB5" w:rsidRPr="00860DB5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CRUCIANI, D. E. A drenagem na agricultura. São </w:t>
                </w:r>
                <w:proofErr w:type="gram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Paulo :</w:t>
                </w:r>
                <w:proofErr w:type="gram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 Nobel. 1987. 333 p.</w:t>
                </w:r>
              </w:p>
              <w:p w:rsidR="00860DB5" w:rsidRPr="00860DB5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GOMES, H. P. Engenharia de irrigação: sistemas pressurizados, aspersão e gotejamento. João Pessoa: Ed. Universitária, 1994. 344 p.</w:t>
                </w:r>
              </w:p>
              <w:p w:rsidR="00860DB5" w:rsidRPr="00860DB5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FRIZZONE, J. A. Irrigação por </w:t>
                </w:r>
                <w:proofErr w:type="spell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asperção</w:t>
                </w:r>
                <w:proofErr w:type="spell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 xml:space="preserve">. Maringá: </w:t>
                </w:r>
                <w:proofErr w:type="spellStart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Eduem</w:t>
                </w:r>
                <w:proofErr w:type="spellEnd"/>
                <w:r w:rsidRPr="00860DB5">
                  <w:rPr>
                    <w:rFonts w:ascii="Arial" w:hAnsi="Arial" w:cs="Arial"/>
                    <w:sz w:val="20"/>
                    <w:szCs w:val="20"/>
                  </w:rPr>
                  <w:t>, 2011. 271 p.</w:t>
                </w:r>
              </w:p>
              <w:p w:rsidR="003D346E" w:rsidRPr="00072857" w:rsidRDefault="00860DB5" w:rsidP="00860DB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60DB5">
                  <w:rPr>
                    <w:rFonts w:ascii="Arial" w:hAnsi="Arial" w:cs="Arial"/>
                    <w:sz w:val="20"/>
                    <w:szCs w:val="20"/>
                  </w:rPr>
                  <w:t>GOMES, A. S. Manejo do solo e da água em áreas de várzea. Pelotas: EMBRAPA, 1999. 201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8E" w:rsidRDefault="0036138E">
      <w:r>
        <w:separator/>
      </w:r>
    </w:p>
  </w:endnote>
  <w:endnote w:type="continuationSeparator" w:id="0">
    <w:p w:rsidR="0036138E" w:rsidRDefault="0036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8E" w:rsidRDefault="0036138E">
      <w:r>
        <w:separator/>
      </w:r>
    </w:p>
  </w:footnote>
  <w:footnote w:type="continuationSeparator" w:id="0">
    <w:p w:rsidR="0036138E" w:rsidRDefault="0036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B4F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138E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0DB5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156B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1019AA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9EB7-20FE-40E9-9DA3-28F2009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2016-06-15T15:40:00Z</dcterms:created>
  <dcterms:modified xsi:type="dcterms:W3CDTF">2016-06-15T15:43:00Z</dcterms:modified>
</cp:coreProperties>
</file>