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F5415" w:rsidRPr="005F5415">
                  <w:rPr>
                    <w:rStyle w:val="TtuloChar"/>
                  </w:rPr>
                  <w:t>TOPOGRAFIA 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163D1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D1D">
              <w:rPr>
                <w:noProof/>
              </w:rPr>
              <w:t>10023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5A4652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4652">
              <w:rPr>
                <w:noProof/>
              </w:rPr>
              <w:t>100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3966C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bookmarkStart w:id="2" w:name="_GoBack"/>
                <w:r w:rsidR="005F5415" w:rsidRPr="005F5415">
                  <w:rPr>
                    <w:rStyle w:val="Rogers2Char"/>
                  </w:rPr>
                  <w:t>Departamento de Engenharia Rural</w:t>
                </w:r>
                <w:bookmarkEnd w:id="2"/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5A4652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4652">
              <w:rPr>
                <w:noProof/>
              </w:rPr>
              <w:t>019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935A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5F5415" w:rsidRPr="005F5415">
                  <w:rPr>
                    <w:rStyle w:val="Rogers2Char"/>
                  </w:rPr>
                  <w:t>FioravanteJaekel</w:t>
                </w:r>
                <w:proofErr w:type="spellEnd"/>
                <w:r w:rsidR="005F5415" w:rsidRPr="005F5415">
                  <w:rPr>
                    <w:rStyle w:val="Rogers2Char"/>
                  </w:rPr>
                  <w:t xml:space="preserve"> dos Santos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5F5415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F5415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5F5415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F5415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F5415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F5415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3966CA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5F5415">
                  <w:rPr>
                    <w:rFonts w:ascii="Arial" w:hAnsi="Arial" w:cs="Arial"/>
                    <w:sz w:val="24"/>
                  </w:rPr>
                  <w:t xml:space="preserve">Desenho Técnico; </w:t>
                </w:r>
                <w:r w:rsidR="005F5415" w:rsidRPr="005F5415">
                  <w:rPr>
                    <w:rFonts w:ascii="Arial" w:hAnsi="Arial" w:cs="Arial"/>
                    <w:sz w:val="24"/>
                  </w:rPr>
                  <w:t>Cálculo 1A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F5415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Entender os objetivos desta ciência, suas divisões, limitações e ciências correlatas. Evidenciar sua importância na formação do Engenheiro Agrônomo através do estudo das aplicações da mesma na atividade deste profissional. Mostrar através de exemplos teóricos e práticos a dualidade da disciplina no sentido de que por um lado se trata de uma matéria profissionalizante e por outro aborda conhecimentos fundamentais que serão utilizadas por outras disciplinas do </w:t>
                </w:r>
                <w:proofErr w:type="spellStart"/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curso.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como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hidráulica, hidrologia, irrigação e dren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agem, construções rurais, etc.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5F5415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Familiarizar-se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com os processos mais simples dos levantamentos topográficos, quais sejam: marcação de pontos topográficos, estudar os instrumentos de sinalização e marcação de pontos, estudar os processos de medida de distâncias entre pontos da superfície da terra, medida de ângulos entre direções. Reconhecer as peças componentes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do aparelhos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topográficos (teodolitos, estações totais e níveis de luneta) e aprender a operá-los (instalar e efetuar medições). Estudar os métodos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de levantamentos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planimétricos.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F5415" w:rsidP="00DD774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Introdução à Topografia, estudo dos instrumentos e aparelhos utilizados em levantamentos topográficos, princípios da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estadimetria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e suas aplicações, métodos de levantamentos planimétricos das suas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aplicações.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Unidad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 I – INTRODUÇÃO À TOPOGRAFIA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1.1 Generalidades;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1.2 Conceito;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1.3. Objetivos, fundamentos e limites;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1.4. Topografia e Geodésia;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1.5. Divisões;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Uni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dade II – ÂNGULOS TOPOGRÁFICOS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2.1. Generalidades;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2.2 Ângulos em planos verticais e horizontais;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2.3. Ângulos geográficos;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2.4. Poligonais;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2.5 Controles Angulares.  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Unidade III – INSTRUMENTOS PARA SINALIZAÇÃO EMARCAÇÃO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DE PONTOS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3.1. Generalidades;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3.2. Piqueta ou piquete;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3.3. Estaca Testemunha;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3.4. Marco Topográfico;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3.5. Balizas;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3.6. Fichas ou fixas;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Unidade IV – INSTRUMENTOS SIMPLES PARA MEDIÇÃO DE DISTÂNCIAS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4.1. Generalidades;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4.2.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Diastímetros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e Miras;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4.3. Medida direta de distâncias horizontais (processo e erros e tolerância dos mesmos)</w:t>
                </w:r>
              </w:p>
              <w:p w:rsid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Unidade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V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–ÓRGÃOS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DOS APARELHOS TOPOGRAFICOS( teodolitos, estações totais, níveis de luneta)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5.1. Generalidades;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5.2. Elementos de sustentação;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5.3. Dispositivos de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centragem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5.4. Elementos de rotação;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5.5. Elementos de calagem;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5.6. Elementos de leitura;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5.7. Órgãos de colimação;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Unidade VI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– Teodolitos e Estações Totais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6.1. Teodolitos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ópticos-mecânicos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6.1.1. Teodolitos repetidores;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6.1.2. Teodolitos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reiteradores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6.2. Teodolitos eletrônicos;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6.3. Estações totais;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Unidade VII - NIVEIS DE LUNETA (instalação, leitura em mira, verificações e retificações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7.1. Níveis de linha;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7.2. Níveis automáticos;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Unidade VIII – ESTADIMETRIA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8.1. Generalidades; 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8.2.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Principios de óptica geométrica;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8.3. Fórmula da distância horizontal;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8.4. Fórmula da diferença de nível;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8.5. Erros nas medidas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estadimétricas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Unidade IX – PLANIMETRIA –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9.1. Métodos de levantamento planimétrico;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9.1.1. Métodos expeditos;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9.1.1.1. Método da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trilateração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9.1.1.2. Método do caminhamento perimétrico com trena e balizas;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9.1.1.3. Método de levantamento com ferramenta GNSS de navegação;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9.2. Métodos que oferecem controle parcial das operações de medição;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9.2.1. Método de irradiação ou coordenadas polares;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9.2.2. Método de coordenadas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bi-polares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ou intersecção;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>9.3. Método que oferecem o controle total das operações de medição;</w:t>
                </w:r>
              </w:p>
              <w:p w:rsidR="003D346E" w:rsidRPr="00072857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9.3.1. Método do caminhamento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perimétrico;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BORGES, Alberto de Campos. Exercícios de topografia. 3.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São Paulo: Edgard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Blucher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, 1986. 192 p.</w:t>
                </w:r>
              </w:p>
              <w:p w:rsidR="005F5415" w:rsidRPr="005F5415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ESPARTEL,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Lelis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. Curso de topografia. 6.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Porto Alegre: Globo, 1978. 655 p</w:t>
                </w:r>
              </w:p>
              <w:p w:rsidR="003D346E" w:rsidRPr="001409AC" w:rsidRDefault="005F5415" w:rsidP="005F54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COMASTRI, José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Anibal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; TULER, José Claudio. Topografia altimetria. 3.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 Viçosa: UFV, 2005. 200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5F5415" w:rsidRPr="005F5415" w:rsidRDefault="005F5415" w:rsidP="005F54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COMASTRI, José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Anibal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. Topografia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planimetria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gram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proofErr w:type="gram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ed. Viçosa: UFV, 1992. 336p</w:t>
                </w:r>
              </w:p>
              <w:p w:rsidR="003D346E" w:rsidRPr="00072857" w:rsidRDefault="005F5415" w:rsidP="005F541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F5415">
                  <w:rPr>
                    <w:rFonts w:ascii="Arial" w:hAnsi="Arial" w:cs="Arial"/>
                    <w:sz w:val="20"/>
                    <w:szCs w:val="20"/>
                  </w:rPr>
                  <w:t xml:space="preserve">COMASTRI, José </w:t>
                </w:r>
                <w:proofErr w:type="spellStart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Anibal</w:t>
                </w:r>
                <w:proofErr w:type="spellEnd"/>
                <w:r w:rsidRPr="005F5415">
                  <w:rPr>
                    <w:rFonts w:ascii="Arial" w:hAnsi="Arial" w:cs="Arial"/>
                    <w:sz w:val="20"/>
                    <w:szCs w:val="20"/>
                  </w:rPr>
                  <w:t>. Topografia aplicada: medição, divisão e demarcação. Viçosa: UFV, 1990. 203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17" w:rsidRDefault="00EE0717">
      <w:r>
        <w:separator/>
      </w:r>
    </w:p>
  </w:endnote>
  <w:endnote w:type="continuationSeparator" w:id="0">
    <w:p w:rsidR="00EE0717" w:rsidRDefault="00EE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17" w:rsidRDefault="00EE0717">
      <w:r>
        <w:separator/>
      </w:r>
    </w:p>
  </w:footnote>
  <w:footnote w:type="continuationSeparator" w:id="0">
    <w:p w:rsidR="00EE0717" w:rsidRDefault="00EE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4652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2590"/>
    <w:rsid w:val="00703EE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0717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70741"/>
    <w:rsid w:val="0048577E"/>
    <w:rsid w:val="004A4BC9"/>
    <w:rsid w:val="004D294A"/>
    <w:rsid w:val="00794E05"/>
    <w:rsid w:val="00946A6B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7978-60B1-412B-84B9-FEB798D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2016-05-31T21:18:00Z</dcterms:created>
  <dcterms:modified xsi:type="dcterms:W3CDTF">2016-05-31T22:07:00Z</dcterms:modified>
</cp:coreProperties>
</file>